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W w:w="0" w:type="auto"/>
        <w:tblInd w:w="3510" w:type="dxa"/>
        <w:tblLook w:val="04A0" w:firstRow="1" w:lastRow="0" w:firstColumn="1" w:lastColumn="0" w:noHBand="0" w:noVBand="1"/>
      </w:tblPr>
      <w:tblGrid>
        <w:gridCol w:w="5034"/>
      </w:tblGrid>
      <w:tr w:rsidR="00547C44" w:rsidRPr="005E1FFF"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5E1FFF" w:rsidRDefault="00547C44" w:rsidP="00DF6FE2">
            <w:pPr>
              <w:ind w:left="-108"/>
              <w:rPr>
                <w:rFonts w:ascii="Arial" w:hAnsi="Arial" w:cs="Arial"/>
                <w:lang w:val="es-MX"/>
              </w:rPr>
            </w:pPr>
            <w:r w:rsidRPr="005E1FFF">
              <w:rPr>
                <w:rFonts w:ascii="Arial" w:hAnsi="Arial" w:cs="Arial"/>
                <w:b/>
                <w:lang w:val="es-MX"/>
              </w:rPr>
              <w:t xml:space="preserve">RECURSO DE REVISIÓN: </w:t>
            </w:r>
            <w:r w:rsidR="00064D97">
              <w:rPr>
                <w:rFonts w:ascii="Arial" w:hAnsi="Arial" w:cs="Arial"/>
                <w:lang w:val="es-MX"/>
              </w:rPr>
              <w:t>RR-</w:t>
            </w:r>
            <w:r w:rsidR="005F6F85">
              <w:rPr>
                <w:rFonts w:ascii="Arial" w:hAnsi="Arial" w:cs="Arial"/>
                <w:lang w:val="es-MX"/>
              </w:rPr>
              <w:t>807</w:t>
            </w:r>
            <w:r w:rsidR="00064D97">
              <w:rPr>
                <w:rFonts w:ascii="Arial" w:hAnsi="Arial" w:cs="Arial"/>
                <w:lang w:val="es-MX"/>
              </w:rPr>
              <w:t>/201</w:t>
            </w:r>
            <w:r w:rsidR="005F6F85">
              <w:rPr>
                <w:rFonts w:ascii="Arial" w:hAnsi="Arial" w:cs="Arial"/>
                <w:lang w:val="es-MX"/>
              </w:rPr>
              <w:t>7</w:t>
            </w:r>
            <w:r w:rsidRPr="005E1FFF">
              <w:rPr>
                <w:rFonts w:ascii="Arial" w:hAnsi="Arial" w:cs="Arial"/>
                <w:lang w:val="es-MX"/>
              </w:rPr>
              <w:t>-3</w:t>
            </w:r>
          </w:p>
        </w:tc>
      </w:tr>
      <w:tr w:rsidR="00547C44" w:rsidRPr="005E1FFF"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5E1FFF" w:rsidRDefault="00547C44" w:rsidP="00064D97">
            <w:pPr>
              <w:ind w:left="-108"/>
              <w:rPr>
                <w:rFonts w:ascii="Arial" w:hAnsi="Arial" w:cs="Arial"/>
                <w:lang w:val="es-MX"/>
              </w:rPr>
            </w:pPr>
            <w:r w:rsidRPr="005E1FFF">
              <w:rPr>
                <w:rFonts w:ascii="Arial" w:hAnsi="Arial" w:cs="Arial"/>
                <w:b/>
                <w:lang w:val="es-MX"/>
              </w:rPr>
              <w:t>ENTE OBLIGADO:</w:t>
            </w:r>
            <w:r w:rsidRPr="005E1FFF">
              <w:rPr>
                <w:rFonts w:ascii="Arial" w:hAnsi="Arial" w:cs="Arial"/>
                <w:lang w:val="es-MX"/>
              </w:rPr>
              <w:t xml:space="preserve"> </w:t>
            </w:r>
            <w:r w:rsidR="008538D6" w:rsidRPr="005E1FFF">
              <w:rPr>
                <w:rFonts w:ascii="Arial" w:hAnsi="Arial" w:cs="Arial"/>
                <w:lang w:val="es-MX"/>
              </w:rPr>
              <w:t xml:space="preserve">SECRETARÍA DE </w:t>
            </w:r>
            <w:r w:rsidR="00064D97">
              <w:rPr>
                <w:rFonts w:ascii="Arial" w:hAnsi="Arial" w:cs="Arial"/>
                <w:lang w:val="es-MX"/>
              </w:rPr>
              <w:t>EDUCACIÓN DE GOBIERNO DEL ESTADO</w:t>
            </w:r>
          </w:p>
        </w:tc>
      </w:tr>
      <w:tr w:rsidR="00547C44" w:rsidRPr="005E1FFF"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5E1FFF" w:rsidRDefault="00547C44" w:rsidP="00C63190">
            <w:pPr>
              <w:ind w:left="-108"/>
              <w:rPr>
                <w:rFonts w:ascii="Arial" w:hAnsi="Arial" w:cs="Arial"/>
                <w:lang w:val="es-MX"/>
              </w:rPr>
            </w:pPr>
            <w:r w:rsidRPr="005E1FFF">
              <w:rPr>
                <w:rFonts w:ascii="Arial" w:hAnsi="Arial" w:cs="Arial"/>
                <w:b/>
                <w:lang w:val="es-MX"/>
              </w:rPr>
              <w:t xml:space="preserve">COMISIONADO PONENTE: </w:t>
            </w:r>
            <w:r w:rsidRPr="005E1FFF">
              <w:rPr>
                <w:rFonts w:ascii="Arial" w:hAnsi="Arial" w:cs="Arial"/>
                <w:lang w:val="es-MX"/>
              </w:rPr>
              <w:t>CLAUDIA ELIZABETH ÁVALOS CEDILLO</w:t>
            </w:r>
          </w:p>
        </w:tc>
      </w:tr>
    </w:tbl>
    <w:p w:rsidR="00547C44" w:rsidRPr="005E1FFF" w:rsidRDefault="00547C44" w:rsidP="00547C44">
      <w:pPr>
        <w:jc w:val="right"/>
        <w:rPr>
          <w:rFonts w:ascii="Arial" w:hAnsi="Arial" w:cs="Arial"/>
          <w:b/>
          <w:lang w:val="es-MX"/>
        </w:rPr>
      </w:pPr>
    </w:p>
    <w:p w:rsidR="00990C27" w:rsidRPr="005E1FFF" w:rsidRDefault="00547C44" w:rsidP="00990C27">
      <w:pPr>
        <w:pStyle w:val="Textoindependienteprimerasangra"/>
        <w:spacing w:after="0"/>
        <w:ind w:firstLine="0"/>
        <w:rPr>
          <w:rFonts w:ascii="Arial" w:eastAsia="Arial Unicode MS" w:hAnsi="Arial" w:cs="Arial"/>
          <w:szCs w:val="26"/>
          <w:lang w:val="es-MX"/>
        </w:rPr>
      </w:pPr>
      <w:r w:rsidRPr="005E1FFF">
        <w:rPr>
          <w:rFonts w:ascii="Arial" w:hAnsi="Arial" w:cs="Arial"/>
          <w:b/>
          <w:lang w:val="es-MX"/>
        </w:rPr>
        <w:tab/>
      </w:r>
      <w:r w:rsidRPr="005E1FFF">
        <w:rPr>
          <w:rFonts w:ascii="Arial" w:eastAsia="Arial Unicode MS" w:hAnsi="Arial" w:cs="Arial"/>
          <w:szCs w:val="26"/>
          <w:lang w:val="es-MX"/>
        </w:rPr>
        <w:t xml:space="preserve">San Luis Potosí, San Luis Potosí, </w:t>
      </w:r>
      <w:r w:rsidR="00064D97">
        <w:rPr>
          <w:rFonts w:ascii="Arial" w:eastAsia="Arial Unicode MS" w:hAnsi="Arial" w:cs="Arial"/>
          <w:szCs w:val="26"/>
          <w:lang w:val="es-MX"/>
        </w:rPr>
        <w:t>veintiocho de febrero</w:t>
      </w:r>
      <w:r w:rsidR="0089357B" w:rsidRPr="005E1FFF">
        <w:rPr>
          <w:rFonts w:ascii="Arial" w:eastAsia="Arial Unicode MS" w:hAnsi="Arial" w:cs="Arial"/>
          <w:szCs w:val="26"/>
          <w:lang w:val="es-MX"/>
        </w:rPr>
        <w:t xml:space="preserve"> de dos mil dieciocho</w:t>
      </w:r>
      <w:r w:rsidRPr="005E1FFF">
        <w:rPr>
          <w:rFonts w:ascii="Arial" w:eastAsia="Arial Unicode MS" w:hAnsi="Arial" w:cs="Arial"/>
          <w:szCs w:val="26"/>
          <w:lang w:val="es-MX"/>
        </w:rPr>
        <w:t>.</w:t>
      </w:r>
    </w:p>
    <w:p w:rsidR="00547C44" w:rsidRPr="005E1FFF" w:rsidRDefault="00990C27" w:rsidP="00990C27">
      <w:pPr>
        <w:pStyle w:val="Textoindependienteprimerasangra"/>
        <w:spacing w:before="240" w:after="0"/>
        <w:ind w:firstLine="0"/>
        <w:rPr>
          <w:rFonts w:ascii="Arial" w:eastAsia="Arial Unicode MS" w:hAnsi="Arial" w:cs="Arial"/>
          <w:szCs w:val="26"/>
          <w:lang w:val="es-MX"/>
        </w:rPr>
      </w:pPr>
      <w:r w:rsidRPr="005E1FFF">
        <w:rPr>
          <w:rFonts w:ascii="Arial" w:eastAsia="Arial Unicode MS" w:hAnsi="Arial" w:cs="Arial"/>
          <w:szCs w:val="26"/>
          <w:lang w:val="es-MX"/>
        </w:rPr>
        <w:tab/>
      </w:r>
      <w:r w:rsidR="00BB5A3B" w:rsidRPr="005E1FFF">
        <w:rPr>
          <w:rFonts w:ascii="Arial" w:eastAsia="Arial Unicode MS" w:hAnsi="Arial" w:cs="Arial"/>
          <w:b/>
          <w:szCs w:val="26"/>
          <w:lang w:val="es-MX"/>
        </w:rPr>
        <w:t>VIST</w:t>
      </w:r>
      <w:r w:rsidR="00547C44" w:rsidRPr="005E1FFF">
        <w:rPr>
          <w:rFonts w:ascii="Arial" w:eastAsia="Arial Unicode MS" w:hAnsi="Arial" w:cs="Arial"/>
          <w:b/>
          <w:szCs w:val="26"/>
          <w:lang w:val="es-MX"/>
        </w:rPr>
        <w:t>O</w:t>
      </w:r>
      <w:r w:rsidR="00BB5A3B" w:rsidRPr="005E1FFF">
        <w:rPr>
          <w:rFonts w:ascii="Arial" w:eastAsia="Arial Unicode MS" w:hAnsi="Arial" w:cs="Arial"/>
          <w:b/>
          <w:szCs w:val="26"/>
          <w:lang w:val="es-MX"/>
        </w:rPr>
        <w:t>S</w:t>
      </w:r>
      <w:r w:rsidR="00547C44" w:rsidRPr="005E1FFF">
        <w:rPr>
          <w:rFonts w:ascii="Arial" w:eastAsia="Arial Unicode MS" w:hAnsi="Arial" w:cs="Arial"/>
          <w:szCs w:val="26"/>
          <w:lang w:val="es-MX"/>
        </w:rPr>
        <w:t xml:space="preserve"> para resolver los autos que conforman el expediente </w:t>
      </w:r>
      <w:r w:rsidR="005F6F85">
        <w:rPr>
          <w:rFonts w:ascii="Arial" w:hAnsi="Arial" w:cs="Arial"/>
          <w:b/>
          <w:lang w:val="es-MX"/>
        </w:rPr>
        <w:t>807</w:t>
      </w:r>
      <w:r w:rsidR="00547C44" w:rsidRPr="005E1FFF">
        <w:rPr>
          <w:rFonts w:ascii="Arial" w:hAnsi="Arial" w:cs="Arial"/>
          <w:b/>
          <w:lang w:val="es-MX"/>
        </w:rPr>
        <w:t>/201</w:t>
      </w:r>
      <w:r w:rsidR="005F6F85">
        <w:rPr>
          <w:rFonts w:ascii="Arial" w:hAnsi="Arial" w:cs="Arial"/>
          <w:b/>
          <w:lang w:val="es-MX"/>
        </w:rPr>
        <w:t>7</w:t>
      </w:r>
      <w:r w:rsidR="00547C44" w:rsidRPr="005E1FFF">
        <w:rPr>
          <w:rFonts w:ascii="Arial" w:hAnsi="Arial" w:cs="Arial"/>
          <w:b/>
          <w:lang w:val="es-MX"/>
        </w:rPr>
        <w:t xml:space="preserve">-3 </w:t>
      </w:r>
      <w:r w:rsidR="00547C44" w:rsidRPr="005E1FFF">
        <w:rPr>
          <w:rFonts w:ascii="Arial" w:eastAsia="Arial Unicode MS" w:hAnsi="Arial" w:cs="Arial"/>
          <w:szCs w:val="26"/>
          <w:lang w:val="es-MX"/>
        </w:rPr>
        <w:t xml:space="preserve">del índice de esta comisión, relativo al </w:t>
      </w:r>
      <w:r w:rsidR="00547C44" w:rsidRPr="005E1FFF">
        <w:rPr>
          <w:rFonts w:ascii="Arial" w:eastAsia="Arial Unicode MS" w:hAnsi="Arial" w:cs="Arial"/>
          <w:b/>
          <w:szCs w:val="26"/>
          <w:lang w:val="es-MX"/>
        </w:rPr>
        <w:t>recurso de revisión</w:t>
      </w:r>
      <w:r w:rsidR="00547C44" w:rsidRPr="005E1FFF">
        <w:rPr>
          <w:rFonts w:ascii="Arial" w:eastAsia="Arial Unicode MS" w:hAnsi="Arial" w:cs="Arial"/>
          <w:szCs w:val="26"/>
          <w:lang w:val="es-MX"/>
        </w:rPr>
        <w:t>, interpuesto co</w:t>
      </w:r>
      <w:r w:rsidR="009823E9" w:rsidRPr="005E1FFF">
        <w:rPr>
          <w:rFonts w:ascii="Arial" w:eastAsia="Arial Unicode MS" w:hAnsi="Arial" w:cs="Arial"/>
          <w:szCs w:val="26"/>
          <w:lang w:val="es-MX"/>
        </w:rPr>
        <w:t>ntra la respuesta emitida por la</w:t>
      </w:r>
      <w:r w:rsidR="00547C44" w:rsidRPr="005E1FFF">
        <w:rPr>
          <w:rFonts w:ascii="Arial" w:eastAsia="Arial Unicode MS" w:hAnsi="Arial" w:cs="Arial"/>
          <w:szCs w:val="26"/>
          <w:lang w:val="es-MX"/>
        </w:rPr>
        <w:t xml:space="preserve"> </w:t>
      </w:r>
      <w:r w:rsidR="00712FE7" w:rsidRPr="005E1FFF">
        <w:rPr>
          <w:rFonts w:ascii="Arial" w:eastAsia="Arial Unicode MS" w:hAnsi="Arial" w:cs="Arial"/>
          <w:b/>
          <w:szCs w:val="26"/>
          <w:lang w:val="es-MX"/>
        </w:rPr>
        <w:t xml:space="preserve">SECRETARÍA DE </w:t>
      </w:r>
      <w:r w:rsidR="00064D97">
        <w:rPr>
          <w:rFonts w:ascii="Arial" w:eastAsia="Arial Unicode MS" w:hAnsi="Arial" w:cs="Arial"/>
          <w:b/>
          <w:szCs w:val="26"/>
          <w:lang w:val="es-MX"/>
        </w:rPr>
        <w:t>EDUCACIÓN DE GOBIERNO DEL ESTADO</w:t>
      </w:r>
      <w:r w:rsidR="00547C44" w:rsidRPr="005E1FFF">
        <w:rPr>
          <w:rFonts w:ascii="Arial" w:eastAsia="Arial Unicode MS" w:hAnsi="Arial" w:cs="Arial"/>
          <w:b/>
          <w:szCs w:val="26"/>
          <w:lang w:val="es-MX"/>
        </w:rPr>
        <w:t xml:space="preserve">, </w:t>
      </w:r>
      <w:r w:rsidR="00547C44" w:rsidRPr="005E1FFF">
        <w:rPr>
          <w:rFonts w:ascii="Arial" w:eastAsia="Arial Unicode MS" w:hAnsi="Arial" w:cs="Arial"/>
          <w:szCs w:val="26"/>
          <w:lang w:val="es-MX"/>
        </w:rPr>
        <w:t>y</w:t>
      </w:r>
    </w:p>
    <w:p w:rsidR="00990C27" w:rsidRPr="005E1FFF" w:rsidRDefault="00547C44" w:rsidP="00990C27">
      <w:pPr>
        <w:pStyle w:val="Textoindependienteprimerasangra"/>
        <w:spacing w:before="240"/>
        <w:ind w:firstLine="900"/>
        <w:jc w:val="center"/>
        <w:rPr>
          <w:rFonts w:ascii="Arial" w:eastAsia="Arial Unicode MS" w:hAnsi="Arial" w:cs="Arial"/>
          <w:b/>
          <w:szCs w:val="26"/>
          <w:lang w:val="es-MX"/>
        </w:rPr>
      </w:pPr>
      <w:r w:rsidRPr="005E1FFF">
        <w:rPr>
          <w:rFonts w:ascii="Arial" w:eastAsia="Arial Unicode MS" w:hAnsi="Arial" w:cs="Arial"/>
          <w:b/>
          <w:szCs w:val="26"/>
          <w:lang w:val="es-MX"/>
        </w:rPr>
        <w:t>A N T E C E D E N T E S:</w:t>
      </w:r>
    </w:p>
    <w:p w:rsidR="00547C44" w:rsidRPr="005E1FFF" w:rsidRDefault="00990C27" w:rsidP="00990C27">
      <w:pPr>
        <w:pStyle w:val="Textoindependienteprimerasangra"/>
        <w:spacing w:before="240"/>
        <w:ind w:firstLine="0"/>
        <w:rPr>
          <w:rFonts w:ascii="Arial" w:eastAsia="Arial Unicode MS" w:hAnsi="Arial" w:cs="Arial"/>
          <w:b/>
          <w:szCs w:val="26"/>
          <w:lang w:val="es-MX"/>
        </w:rPr>
      </w:pPr>
      <w:r w:rsidRPr="005E1FFF">
        <w:rPr>
          <w:rFonts w:ascii="Arial" w:eastAsia="Arial Unicode MS" w:hAnsi="Arial" w:cs="Arial"/>
          <w:b/>
          <w:szCs w:val="26"/>
          <w:lang w:val="es-MX"/>
        </w:rPr>
        <w:tab/>
      </w:r>
      <w:r w:rsidR="00547C44" w:rsidRPr="005E1FFF">
        <w:rPr>
          <w:rFonts w:ascii="Arial" w:eastAsia="Arial Unicode MS" w:hAnsi="Arial" w:cs="Arial"/>
          <w:b/>
          <w:szCs w:val="26"/>
          <w:lang w:val="es-MX"/>
        </w:rPr>
        <w:t xml:space="preserve">PRIMERO. Solicitud de Información. </w:t>
      </w:r>
      <w:r w:rsidR="00DF6FE2" w:rsidRPr="005F6F85">
        <w:rPr>
          <w:rFonts w:ascii="Arial" w:eastAsia="Arial Unicode MS" w:hAnsi="Arial" w:cs="Arial"/>
          <w:szCs w:val="26"/>
          <w:lang w:val="es-MX"/>
        </w:rPr>
        <w:t>El</w:t>
      </w:r>
      <w:r w:rsidR="00DF6FE2" w:rsidRPr="005E1FFF">
        <w:rPr>
          <w:rFonts w:ascii="Arial" w:eastAsia="Arial Unicode MS" w:hAnsi="Arial" w:cs="Arial"/>
          <w:b/>
          <w:szCs w:val="26"/>
          <w:lang w:val="es-MX"/>
        </w:rPr>
        <w:t xml:space="preserve"> </w:t>
      </w:r>
      <w:r w:rsidR="005F6F85">
        <w:rPr>
          <w:rFonts w:ascii="Arial" w:eastAsia="Arial Unicode MS" w:hAnsi="Arial" w:cs="Arial"/>
          <w:b/>
          <w:szCs w:val="26"/>
          <w:lang w:val="es-MX"/>
        </w:rPr>
        <w:t>siete</w:t>
      </w:r>
      <w:r w:rsidR="00935B9B" w:rsidRPr="005E1FFF">
        <w:rPr>
          <w:rFonts w:ascii="Arial" w:eastAsia="Arial Unicode MS" w:hAnsi="Arial" w:cs="Arial"/>
          <w:b/>
          <w:szCs w:val="26"/>
          <w:lang w:val="es-MX"/>
        </w:rPr>
        <w:t xml:space="preserve"> de noviembre</w:t>
      </w:r>
      <w:r w:rsidR="00013C06" w:rsidRPr="005E1FFF">
        <w:rPr>
          <w:rFonts w:ascii="Arial" w:eastAsia="Arial Unicode MS" w:hAnsi="Arial" w:cs="Arial"/>
          <w:b/>
          <w:szCs w:val="26"/>
          <w:lang w:val="es-MX"/>
        </w:rPr>
        <w:t xml:space="preserve"> de </w:t>
      </w:r>
      <w:r w:rsidR="00547C44" w:rsidRPr="005E1FFF">
        <w:rPr>
          <w:rFonts w:ascii="Arial" w:eastAsia="Arial Unicode MS" w:hAnsi="Arial" w:cs="Arial"/>
          <w:b/>
          <w:szCs w:val="26"/>
          <w:lang w:val="es-MX"/>
        </w:rPr>
        <w:t xml:space="preserve">dos mil </w:t>
      </w:r>
      <w:r w:rsidRPr="005E1FFF">
        <w:rPr>
          <w:rFonts w:ascii="Arial" w:eastAsia="Arial Unicode MS" w:hAnsi="Arial" w:cs="Arial"/>
          <w:b/>
          <w:szCs w:val="26"/>
          <w:lang w:val="es-MX"/>
        </w:rPr>
        <w:t>diecisiete</w:t>
      </w:r>
      <w:r w:rsidR="00547C44" w:rsidRPr="005E1FFF">
        <w:rPr>
          <w:rFonts w:ascii="Arial" w:eastAsia="Arial Unicode MS" w:hAnsi="Arial" w:cs="Arial"/>
          <w:szCs w:val="26"/>
          <w:lang w:val="es-MX"/>
        </w:rPr>
        <w:t xml:space="preserve">, </w:t>
      </w:r>
      <w:r w:rsidR="0065301A" w:rsidRPr="005E1FFF">
        <w:rPr>
          <w:rFonts w:ascii="Arial" w:hAnsi="Arial" w:cs="Arial"/>
          <w:lang w:val="es-MX"/>
        </w:rPr>
        <w:t>se</w:t>
      </w:r>
      <w:r w:rsidR="00746974" w:rsidRPr="005E1FFF">
        <w:rPr>
          <w:rFonts w:ascii="Arial" w:eastAsia="Arial Unicode MS" w:hAnsi="Arial" w:cs="Arial"/>
          <w:szCs w:val="26"/>
          <w:lang w:val="es-MX"/>
        </w:rPr>
        <w:t xml:space="preserve"> </w:t>
      </w:r>
      <w:r w:rsidR="0065301A" w:rsidRPr="005E1FFF">
        <w:rPr>
          <w:rFonts w:ascii="Arial" w:eastAsia="Arial Unicode MS" w:hAnsi="Arial" w:cs="Arial"/>
          <w:szCs w:val="26"/>
          <w:lang w:val="es-MX"/>
        </w:rPr>
        <w:t>presentó</w:t>
      </w:r>
      <w:r w:rsidR="00C63190" w:rsidRPr="005E1FFF">
        <w:rPr>
          <w:rFonts w:ascii="Arial" w:eastAsia="Arial Unicode MS" w:hAnsi="Arial" w:cs="Arial"/>
          <w:szCs w:val="26"/>
          <w:lang w:val="es-MX"/>
        </w:rPr>
        <w:t xml:space="preserve"> una solicitud de información a</w:t>
      </w:r>
      <w:r w:rsidR="009823E9" w:rsidRPr="005E1FFF">
        <w:rPr>
          <w:rFonts w:ascii="Arial" w:eastAsia="Arial Unicode MS" w:hAnsi="Arial" w:cs="Arial"/>
          <w:szCs w:val="26"/>
          <w:lang w:val="es-MX"/>
        </w:rPr>
        <w:t xml:space="preserve"> </w:t>
      </w:r>
      <w:r w:rsidR="00DC51FF" w:rsidRPr="005E1FFF">
        <w:rPr>
          <w:rFonts w:ascii="Arial" w:eastAsia="Arial Unicode MS" w:hAnsi="Arial" w:cs="Arial"/>
          <w:szCs w:val="26"/>
          <w:lang w:val="es-MX"/>
        </w:rPr>
        <w:t>l</w:t>
      </w:r>
      <w:r w:rsidR="009823E9" w:rsidRPr="005E1FFF">
        <w:rPr>
          <w:rFonts w:ascii="Arial" w:eastAsia="Arial Unicode MS" w:hAnsi="Arial" w:cs="Arial"/>
          <w:szCs w:val="26"/>
          <w:lang w:val="es-MX"/>
        </w:rPr>
        <w:t>a</w:t>
      </w:r>
      <w:r w:rsidR="00547C44" w:rsidRPr="005E1FFF">
        <w:rPr>
          <w:rFonts w:ascii="Arial" w:eastAsia="Arial Unicode MS" w:hAnsi="Arial" w:cs="Arial"/>
          <w:szCs w:val="26"/>
          <w:lang w:val="es-MX"/>
        </w:rPr>
        <w:t xml:space="preserve"> </w:t>
      </w:r>
      <w:r w:rsidR="00712FE7" w:rsidRPr="005E1FFF">
        <w:rPr>
          <w:rFonts w:ascii="Arial" w:eastAsia="Arial Unicode MS" w:hAnsi="Arial" w:cs="Arial"/>
          <w:b/>
          <w:szCs w:val="26"/>
          <w:lang w:val="es-MX"/>
        </w:rPr>
        <w:t xml:space="preserve">SECRETARÍA DE </w:t>
      </w:r>
      <w:r w:rsidR="00064D97">
        <w:rPr>
          <w:rFonts w:ascii="Arial" w:eastAsia="Arial Unicode MS" w:hAnsi="Arial" w:cs="Arial"/>
          <w:b/>
          <w:szCs w:val="26"/>
          <w:lang w:val="es-MX"/>
        </w:rPr>
        <w:t>EDUCACIÓN DE GOBIERNO DEL ESTADO</w:t>
      </w:r>
      <w:r w:rsidR="00746974" w:rsidRPr="005E1FFF">
        <w:rPr>
          <w:rFonts w:ascii="Arial" w:eastAsia="Arial Unicode MS" w:hAnsi="Arial" w:cs="Arial"/>
          <w:b/>
          <w:szCs w:val="26"/>
          <w:lang w:val="es-MX"/>
        </w:rPr>
        <w:t>,</w:t>
      </w:r>
      <w:r w:rsidR="00547C44" w:rsidRPr="005E1FFF">
        <w:rPr>
          <w:rFonts w:ascii="Arial" w:eastAsia="Arial Unicode MS" w:hAnsi="Arial" w:cs="Arial"/>
          <w:b/>
          <w:szCs w:val="26"/>
          <w:lang w:val="es-MX"/>
        </w:rPr>
        <w:t xml:space="preserve"> </w:t>
      </w:r>
      <w:r w:rsidR="00547C44" w:rsidRPr="005E1FFF">
        <w:rPr>
          <w:rFonts w:ascii="Arial" w:eastAsia="Arial Unicode MS" w:hAnsi="Arial" w:cs="Arial"/>
          <w:szCs w:val="26"/>
          <w:lang w:val="es-MX"/>
        </w:rPr>
        <w:t xml:space="preserve">a la cual se le asignó el número de </w:t>
      </w:r>
      <w:r w:rsidR="005F6F85">
        <w:rPr>
          <w:rFonts w:ascii="Arial" w:eastAsia="Arial Unicode MS" w:hAnsi="Arial" w:cs="Arial"/>
          <w:szCs w:val="26"/>
          <w:lang w:val="es-MX"/>
        </w:rPr>
        <w:t>expediente</w:t>
      </w:r>
      <w:r w:rsidR="00FF4E67" w:rsidRPr="005E1FFF">
        <w:rPr>
          <w:rFonts w:ascii="Arial" w:eastAsia="Arial Unicode MS" w:hAnsi="Arial" w:cs="Arial"/>
          <w:szCs w:val="26"/>
          <w:lang w:val="es-MX"/>
        </w:rPr>
        <w:t xml:space="preserve"> </w:t>
      </w:r>
      <w:r w:rsidR="005F6F85">
        <w:rPr>
          <w:rFonts w:ascii="Arial" w:eastAsia="Arial Unicode MS" w:hAnsi="Arial" w:cs="Arial"/>
          <w:b/>
          <w:szCs w:val="26"/>
          <w:lang w:val="es-MX"/>
        </w:rPr>
        <w:t>317/628/2017</w:t>
      </w:r>
      <w:r w:rsidR="00547C44" w:rsidRPr="005E1FFF">
        <w:rPr>
          <w:rFonts w:ascii="Arial" w:eastAsia="Arial Unicode MS" w:hAnsi="Arial" w:cs="Arial"/>
          <w:szCs w:val="26"/>
          <w:lang w:val="es-MX"/>
        </w:rPr>
        <w:t>, y consistió la petición del solicitante en lo siguiente:</w:t>
      </w:r>
      <w:r w:rsidR="00547C44" w:rsidRPr="005E1FFF">
        <w:rPr>
          <w:rFonts w:ascii="Arial" w:eastAsia="Arial Unicode MS" w:hAnsi="Arial" w:cs="Arial"/>
          <w:b/>
          <w:szCs w:val="26"/>
          <w:lang w:val="es-MX"/>
        </w:rPr>
        <w:t xml:space="preserve"> </w:t>
      </w:r>
    </w:p>
    <w:p w:rsidR="00C63190" w:rsidRDefault="005F6F85" w:rsidP="005F6F85">
      <w:pPr>
        <w:rPr>
          <w:rFonts w:eastAsia="Arial Unicode MS"/>
        </w:rPr>
      </w:pPr>
      <w:r>
        <w:rPr>
          <w:rFonts w:eastAsia="Arial Unicode MS"/>
        </w:rPr>
        <w:tab/>
        <w:t>Manual de funciones y organización de la Benemérita y Centenaria Escuela Normal del Estado.</w:t>
      </w:r>
    </w:p>
    <w:p w:rsidR="005F6F85" w:rsidRDefault="005F6F85" w:rsidP="005F6F85">
      <w:pPr>
        <w:rPr>
          <w:rFonts w:eastAsia="Arial Unicode MS"/>
        </w:rPr>
      </w:pPr>
      <w:r>
        <w:rPr>
          <w:rFonts w:eastAsia="Arial Unicode MS"/>
        </w:rPr>
        <w:tab/>
        <w:t xml:space="preserve">Documentación comprobatoria que se generó para la asignación de recursos públicos de la Escuela Normal del Estado con diversos docentes para el pago del rubro “asesoría/compensación”, durante el periodo del cuatro al once de julio de dos mil diecisiete. </w:t>
      </w:r>
    </w:p>
    <w:p w:rsidR="005F6F85" w:rsidRDefault="005F6F85" w:rsidP="005F6F85">
      <w:pPr>
        <w:rPr>
          <w:rFonts w:eastAsia="Arial Unicode MS"/>
        </w:rPr>
      </w:pPr>
      <w:r>
        <w:rPr>
          <w:rFonts w:eastAsia="Arial Unicode MS"/>
        </w:rPr>
        <w:tab/>
        <w:t xml:space="preserve">Documentación que acredite la asesoría y compensación llevada a cabo por los docentes beneficiados bajo el rubro antes mencionado, de igual forma el criterio </w:t>
      </w:r>
      <w:r w:rsidR="00311D23">
        <w:rPr>
          <w:rFonts w:eastAsia="Arial Unicode MS"/>
        </w:rPr>
        <w:t>que tiene la autoridad para nombrar a los docentes beneficiados.</w:t>
      </w:r>
    </w:p>
    <w:p w:rsidR="00311D23" w:rsidRDefault="00311D23" w:rsidP="005F6F85">
      <w:pPr>
        <w:rPr>
          <w:rFonts w:eastAsia="Arial Unicode MS"/>
        </w:rPr>
      </w:pPr>
      <w:r>
        <w:rPr>
          <w:rFonts w:eastAsia="Arial Unicode MS"/>
        </w:rPr>
        <w:lastRenderedPageBreak/>
        <w:tab/>
        <w:t>Documentación que se generó para que los docentes que menciona el solicitante fueran nombrados para asistir, aplicar y presentar los exámenes profesionales que se llevaron a cabo del cuatro al once de julio de dos mil diecisiete.</w:t>
      </w:r>
    </w:p>
    <w:p w:rsidR="00311D23" w:rsidRPr="005F6F85" w:rsidRDefault="00311D23" w:rsidP="005F6F85">
      <w:pPr>
        <w:rPr>
          <w:rFonts w:eastAsia="Arial Unicode MS"/>
        </w:rPr>
      </w:pPr>
      <w:r>
        <w:rPr>
          <w:rFonts w:eastAsia="Arial Unicode MS"/>
        </w:rPr>
        <w:tab/>
      </w:r>
      <w:r w:rsidR="000E31E3">
        <w:rPr>
          <w:rFonts w:eastAsia="Arial Unicode MS"/>
        </w:rPr>
        <w:t>(…)</w:t>
      </w:r>
      <w:bookmarkStart w:id="0" w:name="_GoBack"/>
      <w:bookmarkEnd w:id="0"/>
    </w:p>
    <w:p w:rsidR="00C9337E" w:rsidRDefault="00547C44" w:rsidP="00FF4E67">
      <w:pPr>
        <w:spacing w:before="240"/>
        <w:ind w:firstLine="708"/>
        <w:rPr>
          <w:rFonts w:ascii="Arial" w:hAnsi="Arial" w:cs="Arial"/>
        </w:rPr>
      </w:pPr>
      <w:r w:rsidRPr="005E1FFF">
        <w:rPr>
          <w:rFonts w:ascii="Arial" w:eastAsia="Arial Unicode MS" w:hAnsi="Arial" w:cs="Arial"/>
          <w:b/>
        </w:rPr>
        <w:t xml:space="preserve">SEGUNDO. </w:t>
      </w:r>
      <w:r w:rsidRPr="005E1FFF">
        <w:rPr>
          <w:rFonts w:ascii="Arial" w:hAnsi="Arial" w:cs="Arial"/>
          <w:b/>
        </w:rPr>
        <w:t xml:space="preserve">Respuesta del sujeto obligado. </w:t>
      </w:r>
      <w:r w:rsidR="00033326" w:rsidRPr="005E1FFF">
        <w:rPr>
          <w:rFonts w:ascii="Arial" w:hAnsi="Arial" w:cs="Arial"/>
        </w:rPr>
        <w:t>El</w:t>
      </w:r>
      <w:r w:rsidR="00013C06" w:rsidRPr="005E1FFF">
        <w:rPr>
          <w:rFonts w:ascii="Arial" w:hAnsi="Arial" w:cs="Arial"/>
        </w:rPr>
        <w:t xml:space="preserve"> </w:t>
      </w:r>
      <w:r w:rsidR="0085182C">
        <w:rPr>
          <w:rFonts w:ascii="Arial" w:hAnsi="Arial" w:cs="Arial"/>
          <w:b/>
        </w:rPr>
        <w:t>veintidós y veinticuatro de noviembre de dos mil diecisiete</w:t>
      </w:r>
      <w:r w:rsidRPr="005E1FFF">
        <w:rPr>
          <w:rFonts w:ascii="Arial" w:hAnsi="Arial" w:cs="Arial"/>
        </w:rPr>
        <w:t xml:space="preserve">, </w:t>
      </w:r>
      <w:r w:rsidR="00C9337E" w:rsidRPr="005E1FFF">
        <w:rPr>
          <w:rFonts w:ascii="Arial" w:hAnsi="Arial" w:cs="Arial"/>
        </w:rPr>
        <w:t xml:space="preserve">el </w:t>
      </w:r>
      <w:r w:rsidR="005351D0">
        <w:rPr>
          <w:rFonts w:ascii="Arial" w:hAnsi="Arial" w:cs="Arial"/>
        </w:rPr>
        <w:t>sujeto</w:t>
      </w:r>
      <w:r w:rsidR="00C9337E" w:rsidRPr="005E1FFF">
        <w:rPr>
          <w:rFonts w:ascii="Arial" w:hAnsi="Arial" w:cs="Arial"/>
        </w:rPr>
        <w:t xml:space="preserve"> obligado dio respuesta al solicitante </w:t>
      </w:r>
      <w:r w:rsidR="0085182C">
        <w:rPr>
          <w:rFonts w:ascii="Arial" w:hAnsi="Arial" w:cs="Arial"/>
        </w:rPr>
        <w:t>a través de los siguientes oficios</w:t>
      </w:r>
      <w:r w:rsidR="00C9337E" w:rsidRPr="005E1FFF">
        <w:rPr>
          <w:rFonts w:ascii="Arial" w:hAnsi="Arial" w:cs="Arial"/>
        </w:rPr>
        <w:t>:</w:t>
      </w:r>
    </w:p>
    <w:p w:rsidR="0085182C" w:rsidRDefault="0085182C" w:rsidP="00FF4E67">
      <w:pPr>
        <w:spacing w:before="240"/>
        <w:ind w:firstLine="708"/>
        <w:rPr>
          <w:rFonts w:ascii="Arial" w:hAnsi="Arial" w:cs="Arial"/>
        </w:rPr>
      </w:pPr>
      <w:r>
        <w:rPr>
          <w:rFonts w:ascii="Arial" w:hAnsi="Arial" w:cs="Arial"/>
        </w:rPr>
        <w:t>DSA/1820/2017, signado por la Directora de Servicios Administrativos del Sistema Educativo Estatal Regular.</w:t>
      </w:r>
    </w:p>
    <w:p w:rsidR="0085182C" w:rsidRDefault="0085182C" w:rsidP="00FF4E67">
      <w:pPr>
        <w:spacing w:before="240"/>
        <w:ind w:firstLine="708"/>
        <w:rPr>
          <w:rFonts w:ascii="Arial" w:hAnsi="Arial" w:cs="Arial"/>
        </w:rPr>
      </w:pPr>
      <w:r>
        <w:rPr>
          <w:rFonts w:ascii="Arial" w:hAnsi="Arial" w:cs="Arial"/>
        </w:rPr>
        <w:t xml:space="preserve">DCE/195/2017-2018, </w:t>
      </w:r>
      <w:r w:rsidR="00085811">
        <w:rPr>
          <w:rFonts w:ascii="Arial" w:hAnsi="Arial" w:cs="Arial"/>
        </w:rPr>
        <w:t>firmado</w:t>
      </w:r>
      <w:r>
        <w:rPr>
          <w:rFonts w:ascii="Arial" w:hAnsi="Arial" w:cs="Arial"/>
        </w:rPr>
        <w:t xml:space="preserve"> </w:t>
      </w:r>
      <w:r w:rsidR="001718C8">
        <w:rPr>
          <w:rFonts w:ascii="Arial" w:hAnsi="Arial" w:cs="Arial"/>
        </w:rPr>
        <w:t>p</w:t>
      </w:r>
      <w:r>
        <w:rPr>
          <w:rFonts w:ascii="Arial" w:hAnsi="Arial" w:cs="Arial"/>
        </w:rPr>
        <w:t xml:space="preserve">or la </w:t>
      </w:r>
      <w:proofErr w:type="gramStart"/>
      <w:r>
        <w:rPr>
          <w:rFonts w:ascii="Arial" w:hAnsi="Arial" w:cs="Arial"/>
        </w:rPr>
        <w:t>Jefa</w:t>
      </w:r>
      <w:proofErr w:type="gramEnd"/>
      <w:r>
        <w:rPr>
          <w:rFonts w:ascii="Arial" w:hAnsi="Arial" w:cs="Arial"/>
        </w:rPr>
        <w:t xml:space="preserve"> del Departamento de Control </w:t>
      </w:r>
      <w:r w:rsidR="001718C8">
        <w:rPr>
          <w:rFonts w:ascii="Arial" w:hAnsi="Arial" w:cs="Arial"/>
        </w:rPr>
        <w:t>Escolar del Sistema Educativo Estatal Regular.</w:t>
      </w:r>
    </w:p>
    <w:p w:rsidR="00085811" w:rsidRDefault="00085811" w:rsidP="00FF4E67">
      <w:pPr>
        <w:spacing w:before="240"/>
        <w:ind w:firstLine="708"/>
        <w:rPr>
          <w:rFonts w:ascii="Arial" w:hAnsi="Arial" w:cs="Arial"/>
        </w:rPr>
      </w:pPr>
      <w:r>
        <w:rPr>
          <w:rFonts w:ascii="Arial" w:hAnsi="Arial" w:cs="Arial"/>
        </w:rPr>
        <w:t>SP/475/2017, suscrito por el Coordinador General de Vinculación y Gestión Institucional de la Secretaría de Educación de Gobierno del Estado.</w:t>
      </w:r>
    </w:p>
    <w:p w:rsidR="00085811" w:rsidRPr="005E1FFF" w:rsidRDefault="00085811" w:rsidP="00FF4E67">
      <w:pPr>
        <w:spacing w:before="240"/>
        <w:ind w:firstLine="708"/>
        <w:rPr>
          <w:rFonts w:ascii="Arial" w:hAnsi="Arial" w:cs="Arial"/>
        </w:rPr>
      </w:pPr>
      <w:r>
        <w:rPr>
          <w:rFonts w:ascii="Arial" w:hAnsi="Arial" w:cs="Arial"/>
        </w:rPr>
        <w:t xml:space="preserve">DG/623/2017-2018, emitido por el </w:t>
      </w:r>
      <w:proofErr w:type="gramStart"/>
      <w:r>
        <w:rPr>
          <w:rFonts w:ascii="Arial" w:hAnsi="Arial" w:cs="Arial"/>
        </w:rPr>
        <w:t>Director</w:t>
      </w:r>
      <w:proofErr w:type="gramEnd"/>
      <w:r>
        <w:rPr>
          <w:rFonts w:ascii="Arial" w:hAnsi="Arial" w:cs="Arial"/>
        </w:rPr>
        <w:t xml:space="preserve"> de la Benemérita y Centenaria Escuela Normal del Estado.</w:t>
      </w:r>
    </w:p>
    <w:p w:rsidR="00935B9B" w:rsidRPr="005E1FFF" w:rsidRDefault="003C3862" w:rsidP="00935B9B">
      <w:pPr>
        <w:spacing w:line="240" w:lineRule="auto"/>
        <w:ind w:left="709" w:hanging="1"/>
        <w:rPr>
          <w:rFonts w:ascii="Arial" w:hAnsi="Arial" w:cs="Arial"/>
          <w:i/>
          <w:sz w:val="22"/>
          <w:szCs w:val="22"/>
        </w:rPr>
      </w:pPr>
      <w:r w:rsidRPr="005E1FFF">
        <w:rPr>
          <w:rFonts w:ascii="Arial" w:hAnsi="Arial" w:cs="Arial"/>
          <w:sz w:val="22"/>
          <w:szCs w:val="22"/>
        </w:rPr>
        <w:tab/>
      </w:r>
      <w:r w:rsidRPr="005E1FFF">
        <w:rPr>
          <w:rFonts w:ascii="Arial" w:hAnsi="Arial" w:cs="Arial"/>
          <w:sz w:val="22"/>
          <w:szCs w:val="22"/>
        </w:rPr>
        <w:tab/>
      </w:r>
    </w:p>
    <w:p w:rsidR="00547C44" w:rsidRPr="005E1FFF" w:rsidRDefault="00547C44" w:rsidP="00DC51FF">
      <w:pPr>
        <w:pStyle w:val="Textoindependienteprimerasangra"/>
        <w:spacing w:after="0"/>
        <w:ind w:firstLine="708"/>
        <w:rPr>
          <w:rFonts w:ascii="Arial" w:eastAsia="Arial Unicode MS" w:hAnsi="Arial" w:cs="Arial"/>
          <w:szCs w:val="26"/>
          <w:lang w:val="es-MX"/>
        </w:rPr>
      </w:pPr>
      <w:r w:rsidRPr="005E1FFF">
        <w:rPr>
          <w:rFonts w:ascii="Arial" w:hAnsi="Arial" w:cs="Arial"/>
          <w:b/>
          <w:szCs w:val="26"/>
        </w:rPr>
        <w:t xml:space="preserve">TERCERO. Interposición del recurso de revisión. </w:t>
      </w:r>
      <w:r w:rsidRPr="005E1FFF">
        <w:rPr>
          <w:rFonts w:ascii="Arial" w:hAnsi="Arial" w:cs="Arial"/>
          <w:szCs w:val="26"/>
        </w:rPr>
        <w:t xml:space="preserve">El </w:t>
      </w:r>
      <w:r w:rsidR="00085811">
        <w:rPr>
          <w:rFonts w:ascii="Arial" w:hAnsi="Arial" w:cs="Arial"/>
          <w:b/>
          <w:szCs w:val="26"/>
        </w:rPr>
        <w:t>primero de diciembre</w:t>
      </w:r>
      <w:r w:rsidR="009626A2">
        <w:rPr>
          <w:rFonts w:ascii="Arial" w:hAnsi="Arial" w:cs="Arial"/>
          <w:b/>
          <w:szCs w:val="26"/>
        </w:rPr>
        <w:t xml:space="preserve"> de dos mil </w:t>
      </w:r>
      <w:r w:rsidR="00085811">
        <w:rPr>
          <w:rFonts w:ascii="Arial" w:hAnsi="Arial" w:cs="Arial"/>
          <w:b/>
          <w:szCs w:val="26"/>
        </w:rPr>
        <w:t>diecisiete</w:t>
      </w:r>
      <w:r w:rsidRPr="005E1FFF">
        <w:rPr>
          <w:rFonts w:ascii="Arial" w:hAnsi="Arial" w:cs="Arial"/>
          <w:szCs w:val="26"/>
        </w:rPr>
        <w:t>,</w:t>
      </w:r>
      <w:r w:rsidR="00FF4E67" w:rsidRPr="005E1FFF">
        <w:rPr>
          <w:rFonts w:ascii="Arial" w:hAnsi="Arial" w:cs="Arial"/>
          <w:szCs w:val="26"/>
        </w:rPr>
        <w:t xml:space="preserve"> el recurrente interpuso el presente medio de impugnación</w:t>
      </w:r>
      <w:r w:rsidR="00085811">
        <w:rPr>
          <w:rFonts w:ascii="Arial" w:hAnsi="Arial" w:cs="Arial"/>
          <w:szCs w:val="26"/>
        </w:rPr>
        <w:t xml:space="preserve">, </w:t>
      </w:r>
      <w:r w:rsidR="00662D15" w:rsidRPr="005E1FFF">
        <w:rPr>
          <w:rFonts w:ascii="Arial" w:hAnsi="Arial" w:cs="Arial"/>
          <w:szCs w:val="26"/>
        </w:rPr>
        <w:t xml:space="preserve">por </w:t>
      </w:r>
      <w:r w:rsidR="00FF4E67" w:rsidRPr="005E1FFF">
        <w:rPr>
          <w:rFonts w:ascii="Arial" w:hAnsi="Arial" w:cs="Arial"/>
          <w:szCs w:val="26"/>
        </w:rPr>
        <w:t xml:space="preserve">el cual </w:t>
      </w:r>
      <w:r w:rsidR="00662D15" w:rsidRPr="005E1FFF">
        <w:rPr>
          <w:rFonts w:ascii="Arial" w:hAnsi="Arial" w:cs="Arial"/>
          <w:szCs w:val="26"/>
        </w:rPr>
        <w:t>impugnó</w:t>
      </w:r>
      <w:r w:rsidR="00FF4E67" w:rsidRPr="005E1FFF">
        <w:rPr>
          <w:rFonts w:ascii="Arial" w:hAnsi="Arial" w:cs="Arial"/>
          <w:szCs w:val="26"/>
        </w:rPr>
        <w:t xml:space="preserve"> la respuesta</w:t>
      </w:r>
      <w:r w:rsidR="00A06DD6" w:rsidRPr="005E1FFF">
        <w:rPr>
          <w:rFonts w:ascii="Arial" w:hAnsi="Arial" w:cs="Arial"/>
          <w:szCs w:val="26"/>
        </w:rPr>
        <w:t xml:space="preserve"> emitida por parte de</w:t>
      </w:r>
      <w:r w:rsidR="0049249D" w:rsidRPr="005E1FFF">
        <w:rPr>
          <w:rFonts w:ascii="Arial" w:hAnsi="Arial" w:cs="Arial"/>
          <w:szCs w:val="26"/>
        </w:rPr>
        <w:t>l sujeto obligado</w:t>
      </w:r>
      <w:r w:rsidRPr="005E1FFF">
        <w:rPr>
          <w:rFonts w:ascii="Arial" w:eastAsia="Arial Unicode MS" w:hAnsi="Arial" w:cs="Arial"/>
          <w:b/>
          <w:szCs w:val="26"/>
          <w:lang w:val="es-MX"/>
        </w:rPr>
        <w:t>,</w:t>
      </w:r>
      <w:r w:rsidR="00C9337E" w:rsidRPr="005E1FFF">
        <w:rPr>
          <w:rFonts w:ascii="Arial" w:eastAsia="Arial Unicode MS" w:hAnsi="Arial" w:cs="Arial"/>
          <w:szCs w:val="26"/>
          <w:lang w:val="es-MX"/>
        </w:rPr>
        <w:t xml:space="preserve"> y en el que señaló</w:t>
      </w:r>
      <w:r w:rsidR="009626A2">
        <w:rPr>
          <w:rFonts w:ascii="Arial" w:eastAsia="Arial Unicode MS" w:hAnsi="Arial" w:cs="Arial"/>
          <w:szCs w:val="26"/>
          <w:lang w:val="es-MX"/>
        </w:rPr>
        <w:t>, esencialmente,</w:t>
      </w:r>
      <w:r w:rsidRPr="005E1FFF">
        <w:rPr>
          <w:rFonts w:ascii="Arial" w:eastAsia="Arial Unicode MS" w:hAnsi="Arial" w:cs="Arial"/>
          <w:szCs w:val="26"/>
          <w:lang w:val="es-MX"/>
        </w:rPr>
        <w:t xml:space="preserve"> como motivos de inconformidad:</w:t>
      </w:r>
    </w:p>
    <w:p w:rsidR="00A8282F" w:rsidRDefault="00085811" w:rsidP="009626A2">
      <w:pPr>
        <w:pStyle w:val="Textoindependienteprimerasangra"/>
        <w:numPr>
          <w:ilvl w:val="0"/>
          <w:numId w:val="22"/>
        </w:numPr>
        <w:spacing w:line="240" w:lineRule="auto"/>
        <w:rPr>
          <w:rFonts w:ascii="Arial" w:hAnsi="Arial" w:cs="Arial"/>
          <w:szCs w:val="26"/>
        </w:rPr>
      </w:pPr>
      <w:r>
        <w:rPr>
          <w:rFonts w:ascii="Arial" w:hAnsi="Arial" w:cs="Arial"/>
          <w:szCs w:val="26"/>
        </w:rPr>
        <w:t>La entrega de la información resultó incompleta</w:t>
      </w:r>
      <w:r w:rsidR="009626A2">
        <w:rPr>
          <w:rFonts w:ascii="Arial" w:hAnsi="Arial" w:cs="Arial"/>
          <w:szCs w:val="26"/>
        </w:rPr>
        <w:t>.</w:t>
      </w:r>
    </w:p>
    <w:p w:rsidR="009626A2" w:rsidRDefault="00085811" w:rsidP="009626A2">
      <w:pPr>
        <w:pStyle w:val="Textoindependienteprimerasangra"/>
        <w:numPr>
          <w:ilvl w:val="0"/>
          <w:numId w:val="22"/>
        </w:numPr>
        <w:spacing w:line="240" w:lineRule="auto"/>
        <w:rPr>
          <w:rFonts w:ascii="Arial" w:hAnsi="Arial" w:cs="Arial"/>
          <w:szCs w:val="26"/>
        </w:rPr>
      </w:pPr>
      <w:r>
        <w:rPr>
          <w:rFonts w:ascii="Arial" w:hAnsi="Arial" w:cs="Arial"/>
          <w:szCs w:val="26"/>
        </w:rPr>
        <w:t>La entrega de la información no corresponde con lo solicitado</w:t>
      </w:r>
      <w:r w:rsidR="009626A2">
        <w:rPr>
          <w:rFonts w:ascii="Arial" w:hAnsi="Arial" w:cs="Arial"/>
          <w:szCs w:val="26"/>
        </w:rPr>
        <w:t>.</w:t>
      </w:r>
    </w:p>
    <w:p w:rsidR="00547C44" w:rsidRPr="005E1FFF" w:rsidRDefault="00547C44" w:rsidP="00662D15">
      <w:pPr>
        <w:spacing w:before="240"/>
        <w:rPr>
          <w:rFonts w:ascii="Arial" w:hAnsi="Arial" w:cs="Arial"/>
        </w:rPr>
      </w:pPr>
      <w:r w:rsidRPr="005E1FFF">
        <w:rPr>
          <w:rFonts w:ascii="Arial" w:hAnsi="Arial" w:cs="Arial"/>
        </w:rPr>
        <w:tab/>
      </w:r>
      <w:r w:rsidRPr="005E1FFF">
        <w:rPr>
          <w:rFonts w:ascii="Arial" w:hAnsi="Arial" w:cs="Arial"/>
          <w:b/>
        </w:rPr>
        <w:t>CUARTO. Turno.</w:t>
      </w:r>
      <w:r w:rsidRPr="005E1FFF">
        <w:rPr>
          <w:rFonts w:ascii="Arial" w:hAnsi="Arial" w:cs="Arial"/>
        </w:rPr>
        <w:t xml:space="preserve"> De conformidad con el artículo 174, fracción I</w:t>
      </w:r>
      <w:r w:rsidR="005F332C" w:rsidRPr="005E1FFF">
        <w:rPr>
          <w:rFonts w:ascii="Arial" w:hAnsi="Arial" w:cs="Arial"/>
        </w:rPr>
        <w:t>,</w:t>
      </w:r>
      <w:r w:rsidRPr="005E1FFF">
        <w:rPr>
          <w:rFonts w:ascii="Arial" w:hAnsi="Arial" w:cs="Arial"/>
        </w:rPr>
        <w:t xml:space="preserve"> de la Ley de Transparencia y Acceso a la Información Pública del Estado, el recurso de revisión R</w:t>
      </w:r>
      <w:r w:rsidR="009626A2">
        <w:rPr>
          <w:rFonts w:ascii="Arial" w:hAnsi="Arial" w:cs="Arial"/>
        </w:rPr>
        <w:t>R-</w:t>
      </w:r>
      <w:r w:rsidR="00085811">
        <w:rPr>
          <w:rFonts w:ascii="Arial" w:hAnsi="Arial" w:cs="Arial"/>
        </w:rPr>
        <w:t>807</w:t>
      </w:r>
      <w:r w:rsidR="009626A2">
        <w:rPr>
          <w:rFonts w:ascii="Arial" w:hAnsi="Arial" w:cs="Arial"/>
        </w:rPr>
        <w:t>/201</w:t>
      </w:r>
      <w:r w:rsidR="00085811">
        <w:rPr>
          <w:rFonts w:ascii="Arial" w:hAnsi="Arial" w:cs="Arial"/>
        </w:rPr>
        <w:t>7</w:t>
      </w:r>
      <w:r w:rsidRPr="005E1FFF">
        <w:rPr>
          <w:rFonts w:ascii="Arial" w:hAnsi="Arial" w:cs="Arial"/>
        </w:rPr>
        <w:t>-3 fue t</w:t>
      </w:r>
      <w:r w:rsidR="00013C06" w:rsidRPr="005E1FFF">
        <w:rPr>
          <w:rFonts w:ascii="Arial" w:hAnsi="Arial" w:cs="Arial"/>
        </w:rPr>
        <w:t>urnado a la Comisionada Ponente</w:t>
      </w:r>
      <w:r w:rsidRPr="005E1FFF">
        <w:rPr>
          <w:rFonts w:ascii="Arial" w:hAnsi="Arial" w:cs="Arial"/>
        </w:rPr>
        <w:t xml:space="preserve"> </w:t>
      </w:r>
      <w:r w:rsidRPr="005E1FFF">
        <w:rPr>
          <w:rFonts w:ascii="Arial" w:hAnsi="Arial" w:cs="Arial"/>
        </w:rPr>
        <w:lastRenderedPageBreak/>
        <w:t>para que sustanciara el periodo de instrucción, y en su momento presentara al Pleno el proyecto de resolución correspondiente.</w:t>
      </w:r>
    </w:p>
    <w:p w:rsidR="00547C44" w:rsidRPr="005E1FFF" w:rsidRDefault="00547C44" w:rsidP="00033326">
      <w:pPr>
        <w:spacing w:before="240" w:after="240"/>
        <w:rPr>
          <w:rFonts w:ascii="Arial" w:hAnsi="Arial" w:cs="Arial"/>
        </w:rPr>
      </w:pPr>
      <w:r w:rsidRPr="005E1FFF">
        <w:rPr>
          <w:rFonts w:ascii="Arial" w:hAnsi="Arial" w:cs="Arial"/>
          <w:b/>
        </w:rPr>
        <w:tab/>
        <w:t xml:space="preserve">QUINTO. Admisión. </w:t>
      </w:r>
      <w:r w:rsidRPr="005E1FFF">
        <w:rPr>
          <w:rFonts w:ascii="Arial" w:hAnsi="Arial" w:cs="Arial"/>
        </w:rPr>
        <w:t xml:space="preserve">El </w:t>
      </w:r>
      <w:r w:rsidR="00085811">
        <w:rPr>
          <w:rFonts w:ascii="Arial" w:hAnsi="Arial" w:cs="Arial"/>
          <w:b/>
        </w:rPr>
        <w:t>seis de diciembre de dos mil diecisiete</w:t>
      </w:r>
      <w:r w:rsidRPr="005E1FFF">
        <w:rPr>
          <w:rFonts w:ascii="Arial" w:hAnsi="Arial" w:cs="Arial"/>
        </w:rPr>
        <w:t>, esta Comisión, con base en el artículo 174, fracción II</w:t>
      </w:r>
      <w:r w:rsidR="00424DB5" w:rsidRPr="005E1FFF">
        <w:rPr>
          <w:rFonts w:ascii="Arial" w:hAnsi="Arial" w:cs="Arial"/>
        </w:rPr>
        <w:t>,</w:t>
      </w:r>
      <w:r w:rsidRPr="005E1FFF">
        <w:rPr>
          <w:rFonts w:ascii="Arial" w:hAnsi="Arial" w:cs="Arial"/>
        </w:rPr>
        <w:t xml:space="preserve">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0A33AA" w:rsidRPr="005E1FFF" w:rsidRDefault="00547C44" w:rsidP="00AE265B">
      <w:pPr>
        <w:rPr>
          <w:rFonts w:ascii="Arial" w:hAnsi="Arial" w:cs="Arial"/>
        </w:rPr>
      </w:pPr>
      <w:r w:rsidRPr="005E1FFF">
        <w:rPr>
          <w:rFonts w:ascii="Arial" w:hAnsi="Arial" w:cs="Arial"/>
          <w:b/>
        </w:rPr>
        <w:tab/>
        <w:t xml:space="preserve">SEXTO. </w:t>
      </w:r>
      <w:r w:rsidR="00457939" w:rsidRPr="005E1FFF">
        <w:rPr>
          <w:rFonts w:ascii="Arial" w:hAnsi="Arial" w:cs="Arial"/>
          <w:b/>
        </w:rPr>
        <w:t>Manifestaciones de las partes</w:t>
      </w:r>
      <w:r w:rsidRPr="005E1FFF">
        <w:rPr>
          <w:rFonts w:ascii="Arial" w:hAnsi="Arial" w:cs="Arial"/>
          <w:b/>
        </w:rPr>
        <w:t xml:space="preserve">. </w:t>
      </w:r>
      <w:r w:rsidRPr="005E1FFF">
        <w:rPr>
          <w:rFonts w:ascii="Arial" w:hAnsi="Arial" w:cs="Arial"/>
        </w:rPr>
        <w:t xml:space="preserve">El </w:t>
      </w:r>
      <w:r w:rsidR="00C97EDF">
        <w:rPr>
          <w:rFonts w:ascii="Arial" w:hAnsi="Arial" w:cs="Arial"/>
          <w:b/>
        </w:rPr>
        <w:t>nueve de enero de dos mil dieciocho</w:t>
      </w:r>
      <w:r w:rsidRPr="005E1FFF">
        <w:rPr>
          <w:rFonts w:ascii="Arial" w:hAnsi="Arial" w:cs="Arial"/>
        </w:rPr>
        <w:t>, se emitió un acuerdo po</w:t>
      </w:r>
      <w:r w:rsidR="00C9337E" w:rsidRPr="005E1FFF">
        <w:rPr>
          <w:rFonts w:ascii="Arial" w:hAnsi="Arial" w:cs="Arial"/>
        </w:rPr>
        <w:t>r el cual se tuv</w:t>
      </w:r>
      <w:r w:rsidR="00C97EDF">
        <w:rPr>
          <w:rFonts w:ascii="Arial" w:hAnsi="Arial" w:cs="Arial"/>
        </w:rPr>
        <w:t>ieron</w:t>
      </w:r>
      <w:r w:rsidR="00C9337E" w:rsidRPr="005E1FFF">
        <w:rPr>
          <w:rFonts w:ascii="Arial" w:hAnsi="Arial" w:cs="Arial"/>
        </w:rPr>
        <w:t xml:space="preserve"> por </w:t>
      </w:r>
      <w:r w:rsidR="00C97EDF">
        <w:rPr>
          <w:rFonts w:ascii="Arial" w:hAnsi="Arial" w:cs="Arial"/>
        </w:rPr>
        <w:t>recibías las manifestaciones realizadas por el sujeto obligado</w:t>
      </w:r>
      <w:r w:rsidR="00E76911" w:rsidRPr="005E1FFF">
        <w:rPr>
          <w:rFonts w:ascii="Arial" w:hAnsi="Arial" w:cs="Arial"/>
        </w:rPr>
        <w:t xml:space="preserve"> </w:t>
      </w:r>
      <w:r w:rsidR="00545919" w:rsidRPr="005E1FFF">
        <w:rPr>
          <w:rFonts w:ascii="Arial" w:hAnsi="Arial" w:cs="Arial"/>
        </w:rPr>
        <w:t xml:space="preserve">en tiempo acorde a la </w:t>
      </w:r>
      <w:r w:rsidR="003C2E2E" w:rsidRPr="005E1FFF">
        <w:rPr>
          <w:rFonts w:ascii="Arial" w:hAnsi="Arial" w:cs="Arial"/>
        </w:rPr>
        <w:t>certific</w:t>
      </w:r>
      <w:r w:rsidR="00A26A62" w:rsidRPr="005E1FFF">
        <w:rPr>
          <w:rFonts w:ascii="Arial" w:hAnsi="Arial" w:cs="Arial"/>
        </w:rPr>
        <w:t xml:space="preserve">ación que obra a foja </w:t>
      </w:r>
      <w:r w:rsidR="00C97EDF">
        <w:rPr>
          <w:rFonts w:ascii="Arial" w:hAnsi="Arial" w:cs="Arial"/>
        </w:rPr>
        <w:t>79</w:t>
      </w:r>
      <w:r w:rsidR="00545919" w:rsidRPr="005E1FFF">
        <w:rPr>
          <w:rFonts w:ascii="Arial" w:hAnsi="Arial" w:cs="Arial"/>
        </w:rPr>
        <w:t xml:space="preserve"> del presente sumario, por lo que el </w:t>
      </w:r>
      <w:r w:rsidR="003A29F0" w:rsidRPr="005E1FFF">
        <w:rPr>
          <w:rFonts w:ascii="Arial" w:hAnsi="Arial" w:cs="Arial"/>
        </w:rPr>
        <w:t>sujeto</w:t>
      </w:r>
      <w:r w:rsidR="00545919" w:rsidRPr="005E1FFF">
        <w:rPr>
          <w:rFonts w:ascii="Arial" w:hAnsi="Arial" w:cs="Arial"/>
        </w:rPr>
        <w:t xml:space="preserve"> obligado realizó las manifes</w:t>
      </w:r>
      <w:r w:rsidR="00FA039E" w:rsidRPr="005E1FFF">
        <w:rPr>
          <w:rFonts w:ascii="Arial" w:hAnsi="Arial" w:cs="Arial"/>
        </w:rPr>
        <w:t>taciones que a su derecho estimó</w:t>
      </w:r>
      <w:r w:rsidR="00545919" w:rsidRPr="005E1FFF">
        <w:rPr>
          <w:rFonts w:ascii="Arial" w:hAnsi="Arial" w:cs="Arial"/>
        </w:rPr>
        <w:t xml:space="preserve"> conveniente</w:t>
      </w:r>
      <w:r w:rsidR="00935B9B" w:rsidRPr="005E1FFF">
        <w:rPr>
          <w:rFonts w:ascii="Arial" w:hAnsi="Arial" w:cs="Arial"/>
        </w:rPr>
        <w:t>s</w:t>
      </w:r>
      <w:r w:rsidR="00A64E84" w:rsidRPr="005E1FFF">
        <w:rPr>
          <w:rFonts w:ascii="Arial" w:hAnsi="Arial" w:cs="Arial"/>
        </w:rPr>
        <w:t>.</w:t>
      </w:r>
      <w:r w:rsidR="0027003D">
        <w:rPr>
          <w:rFonts w:ascii="Arial" w:hAnsi="Arial" w:cs="Arial"/>
        </w:rPr>
        <w:t xml:space="preserve"> </w:t>
      </w:r>
    </w:p>
    <w:p w:rsidR="0027003D" w:rsidRPr="005E1FFF" w:rsidRDefault="00547C44" w:rsidP="00A64E84">
      <w:pPr>
        <w:spacing w:before="240"/>
        <w:rPr>
          <w:rFonts w:ascii="Arial" w:hAnsi="Arial" w:cs="Arial"/>
        </w:rPr>
      </w:pPr>
      <w:r w:rsidRPr="005E1FFF">
        <w:rPr>
          <w:rFonts w:ascii="Arial" w:hAnsi="Arial" w:cs="Arial"/>
        </w:rPr>
        <w:tab/>
        <w:t xml:space="preserve">Por lo que toca al </w:t>
      </w:r>
      <w:r w:rsidR="00545919" w:rsidRPr="005E1FFF">
        <w:rPr>
          <w:rFonts w:ascii="Arial" w:hAnsi="Arial" w:cs="Arial"/>
        </w:rPr>
        <w:t>inconforme</w:t>
      </w:r>
      <w:r w:rsidRPr="005E1FFF">
        <w:rPr>
          <w:rFonts w:ascii="Arial" w:hAnsi="Arial" w:cs="Arial"/>
        </w:rPr>
        <w:t>, éste hizo uso de su derecho contenido en el artículo 174, fracción III</w:t>
      </w:r>
      <w:r w:rsidR="00935B9B" w:rsidRPr="005E1FFF">
        <w:rPr>
          <w:rFonts w:ascii="Arial" w:hAnsi="Arial" w:cs="Arial"/>
        </w:rPr>
        <w:t>,</w:t>
      </w:r>
      <w:r w:rsidRPr="005E1FFF">
        <w:rPr>
          <w:rFonts w:ascii="Arial" w:hAnsi="Arial" w:cs="Arial"/>
        </w:rPr>
        <w:t xml:space="preserve"> de la Ley de Transparencia del Estado</w:t>
      </w:r>
      <w:r w:rsidR="00C97EDF">
        <w:rPr>
          <w:rFonts w:ascii="Arial" w:hAnsi="Arial" w:cs="Arial"/>
        </w:rPr>
        <w:t>, previo a que se diera vista a las partes, ello según se puede corroborar a fojas 30 a 32 del presente sumario.</w:t>
      </w:r>
    </w:p>
    <w:p w:rsidR="0027003D" w:rsidRPr="0027003D" w:rsidRDefault="00547C44" w:rsidP="00547C44">
      <w:pPr>
        <w:spacing w:before="240"/>
        <w:rPr>
          <w:rFonts w:ascii="Arial" w:hAnsi="Arial" w:cs="Arial"/>
        </w:rPr>
      </w:pPr>
      <w:r w:rsidRPr="005E1FFF">
        <w:rPr>
          <w:rFonts w:ascii="Arial" w:hAnsi="Arial" w:cs="Arial"/>
        </w:rPr>
        <w:tab/>
      </w:r>
      <w:r w:rsidR="00720E84" w:rsidRPr="005E1FFF">
        <w:rPr>
          <w:rFonts w:ascii="Arial" w:hAnsi="Arial" w:cs="Arial"/>
          <w:b/>
        </w:rPr>
        <w:t>SÉ</w:t>
      </w:r>
      <w:r w:rsidRPr="005E1FFF">
        <w:rPr>
          <w:rFonts w:ascii="Arial" w:hAnsi="Arial" w:cs="Arial"/>
          <w:b/>
        </w:rPr>
        <w:t>PTIMO.</w:t>
      </w:r>
      <w:r w:rsidR="0027003D">
        <w:rPr>
          <w:rFonts w:ascii="Arial" w:hAnsi="Arial" w:cs="Arial"/>
          <w:b/>
        </w:rPr>
        <w:t xml:space="preserve"> Ampliación. </w:t>
      </w:r>
      <w:r w:rsidR="0027003D">
        <w:rPr>
          <w:rFonts w:ascii="Arial" w:hAnsi="Arial" w:cs="Arial"/>
        </w:rPr>
        <w:t xml:space="preserve">El </w:t>
      </w:r>
      <w:r w:rsidR="00C97EDF">
        <w:rPr>
          <w:rFonts w:ascii="Arial" w:hAnsi="Arial" w:cs="Arial"/>
        </w:rPr>
        <w:t>dieciocho de enero</w:t>
      </w:r>
      <w:r w:rsidR="0027003D">
        <w:rPr>
          <w:rFonts w:ascii="Arial" w:hAnsi="Arial" w:cs="Arial"/>
        </w:rPr>
        <w:t xml:space="preserve"> de dos mil dieciocho, se emitió un acuerdo por el cual se decretó la ampliación del plazo que reconoce el artículo 170 de la Ley de Transparencia y Acceso a la Información Pública del Estado.</w:t>
      </w:r>
    </w:p>
    <w:p w:rsidR="003C3862" w:rsidRPr="005E1FFF" w:rsidRDefault="00547C44" w:rsidP="00547C44">
      <w:pPr>
        <w:spacing w:before="240"/>
        <w:rPr>
          <w:rFonts w:ascii="Arial" w:hAnsi="Arial" w:cs="Arial"/>
        </w:rPr>
      </w:pPr>
      <w:r w:rsidRPr="005E1FFF">
        <w:rPr>
          <w:rFonts w:ascii="Arial" w:hAnsi="Arial" w:cs="Arial"/>
          <w:b/>
        </w:rPr>
        <w:t xml:space="preserve"> </w:t>
      </w:r>
      <w:r w:rsidR="0027003D">
        <w:rPr>
          <w:rFonts w:ascii="Arial" w:hAnsi="Arial" w:cs="Arial"/>
          <w:b/>
        </w:rPr>
        <w:tab/>
        <w:t xml:space="preserve">OCTAVO. </w:t>
      </w:r>
      <w:r w:rsidRPr="005E1FFF">
        <w:rPr>
          <w:rFonts w:ascii="Arial" w:hAnsi="Arial" w:cs="Arial"/>
          <w:b/>
        </w:rPr>
        <w:t xml:space="preserve">Cierre de Instrucción. </w:t>
      </w:r>
      <w:r w:rsidRPr="005E1FFF">
        <w:rPr>
          <w:rFonts w:ascii="Arial" w:hAnsi="Arial" w:cs="Arial"/>
        </w:rPr>
        <w:t xml:space="preserve">El </w:t>
      </w:r>
      <w:r w:rsidR="00BB3718">
        <w:rPr>
          <w:rFonts w:ascii="Arial" w:hAnsi="Arial" w:cs="Arial"/>
          <w:b/>
        </w:rPr>
        <w:t>nueve</w:t>
      </w:r>
      <w:r w:rsidR="00BB3718" w:rsidRPr="005E1FFF">
        <w:rPr>
          <w:rFonts w:ascii="Arial" w:hAnsi="Arial" w:cs="Arial"/>
          <w:b/>
        </w:rPr>
        <w:t xml:space="preserve"> de</w:t>
      </w:r>
      <w:r w:rsidR="00935B9B" w:rsidRPr="005E1FFF">
        <w:rPr>
          <w:rFonts w:ascii="Arial" w:hAnsi="Arial" w:cs="Arial"/>
          <w:b/>
        </w:rPr>
        <w:t xml:space="preserve"> enero de dos mil dieciocho</w:t>
      </w:r>
      <w:r w:rsidRPr="005E1FFF">
        <w:rPr>
          <w:rFonts w:ascii="Arial" w:hAnsi="Arial" w:cs="Arial"/>
        </w:rPr>
        <w:t>, se decretó el Cierre de Instrucción del expediente formado con motivo del presente recurso de revisión, a fin de que la ponente presentara el proyecto de resolución correspondiente.</w:t>
      </w:r>
    </w:p>
    <w:p w:rsidR="00547C44" w:rsidRPr="005E1FFF" w:rsidRDefault="00547C44" w:rsidP="00547C44">
      <w:pPr>
        <w:spacing w:before="240"/>
        <w:jc w:val="center"/>
        <w:rPr>
          <w:rFonts w:ascii="Arial" w:hAnsi="Arial" w:cs="Arial"/>
          <w:b/>
        </w:rPr>
      </w:pPr>
      <w:r w:rsidRPr="005E1FFF">
        <w:rPr>
          <w:rFonts w:ascii="Arial" w:hAnsi="Arial" w:cs="Arial"/>
          <w:b/>
        </w:rPr>
        <w:t xml:space="preserve">C O N S I D E R A N D O </w:t>
      </w:r>
    </w:p>
    <w:p w:rsidR="0072714A" w:rsidRPr="005E1FFF" w:rsidRDefault="00547C44" w:rsidP="00545919">
      <w:pPr>
        <w:pStyle w:val="Textoindependienteprimerasangra"/>
        <w:spacing w:before="240"/>
        <w:ind w:firstLine="900"/>
        <w:rPr>
          <w:rFonts w:ascii="Arial" w:hAnsi="Arial" w:cs="Arial"/>
        </w:rPr>
      </w:pPr>
      <w:r w:rsidRPr="005E1FFF">
        <w:rPr>
          <w:rFonts w:ascii="Arial" w:eastAsia="Arial Unicode MS" w:hAnsi="Arial" w:cs="Arial"/>
          <w:b/>
        </w:rPr>
        <w:t>PRIMERO. Competencia.</w:t>
      </w:r>
      <w:r w:rsidRPr="005E1FFF">
        <w:rPr>
          <w:rFonts w:ascii="Arial" w:eastAsia="Arial Unicode MS" w:hAnsi="Arial" w:cs="Arial"/>
        </w:rPr>
        <w:t xml:space="preserve"> El Pleno de esta Comisión Estatal de Garantía de Acceso a la Información Pública es competente para resolver </w:t>
      </w:r>
      <w:r w:rsidRPr="005E1FFF">
        <w:rPr>
          <w:rFonts w:ascii="Arial" w:eastAsia="Arial Unicode MS" w:hAnsi="Arial" w:cs="Arial"/>
        </w:rPr>
        <w:lastRenderedPageBreak/>
        <w:t>el presente recurso de revisión de conformidad con los artículos 6°, apartado A., fracción IV</w:t>
      </w:r>
      <w:r w:rsidR="00424DB5" w:rsidRPr="005E1FFF">
        <w:rPr>
          <w:rFonts w:ascii="Arial" w:eastAsia="Arial Unicode MS" w:hAnsi="Arial" w:cs="Arial"/>
        </w:rPr>
        <w:t>,</w:t>
      </w:r>
      <w:r w:rsidRPr="005E1FFF">
        <w:rPr>
          <w:rFonts w:ascii="Arial" w:eastAsia="Arial Unicode MS" w:hAnsi="Arial" w:cs="Arial"/>
        </w:rPr>
        <w:t xml:space="preserve"> de la Constitución Política de los Estados Unidos Mexicanos; 17, fracción III, párrafo tercero</w:t>
      </w:r>
      <w:r w:rsidR="00424DB5" w:rsidRPr="005E1FFF">
        <w:rPr>
          <w:rFonts w:ascii="Arial" w:eastAsia="Arial Unicode MS" w:hAnsi="Arial" w:cs="Arial"/>
        </w:rPr>
        <w:t>,</w:t>
      </w:r>
      <w:r w:rsidRPr="005E1FFF">
        <w:rPr>
          <w:rFonts w:ascii="Arial" w:eastAsia="Arial Unicode MS" w:hAnsi="Arial" w:cs="Arial"/>
        </w:rPr>
        <w:t xml:space="preserve"> de la Constitución Política del Estado Libre y Soberano de San Luis Po</w:t>
      </w:r>
      <w:r w:rsidR="00424DB5" w:rsidRPr="005E1FFF">
        <w:rPr>
          <w:rFonts w:ascii="Arial" w:eastAsia="Arial Unicode MS" w:hAnsi="Arial" w:cs="Arial"/>
        </w:rPr>
        <w:t>tosí; 37, 42, fracciones I y II;</w:t>
      </w:r>
      <w:r w:rsidRPr="005E1FFF">
        <w:rPr>
          <w:rFonts w:ascii="Arial" w:eastAsia="Arial Unicode MS" w:hAnsi="Arial" w:cs="Arial"/>
        </w:rPr>
        <w:t xml:space="preserve"> 142 y 151 de la Ley General de Transparencia y Acceso a la Información Púb</w:t>
      </w:r>
      <w:r w:rsidR="00424DB5" w:rsidRPr="005E1FFF">
        <w:rPr>
          <w:rFonts w:ascii="Arial" w:eastAsia="Arial Unicode MS" w:hAnsi="Arial" w:cs="Arial"/>
        </w:rPr>
        <w:t>lica; 27, 34, fracciones I y II;</w:t>
      </w:r>
      <w:r w:rsidRPr="005E1FFF">
        <w:rPr>
          <w:rFonts w:ascii="Arial" w:eastAsia="Arial Unicode MS" w:hAnsi="Arial" w:cs="Arial"/>
        </w:rPr>
        <w:t xml:space="preserve"> 166 y 175 de la Ley de Transparencia y Acceso a la Información Pública del Estado de San Luis potosí, así</w:t>
      </w:r>
      <w:r w:rsidR="00FA039E" w:rsidRPr="005E1FFF">
        <w:rPr>
          <w:rFonts w:ascii="Arial" w:eastAsia="Arial Unicode MS" w:hAnsi="Arial" w:cs="Arial"/>
        </w:rPr>
        <w:t xml:space="preserve"> como</w:t>
      </w:r>
      <w:r w:rsidRPr="005E1FFF">
        <w:rPr>
          <w:rFonts w:ascii="Arial" w:eastAsia="Arial Unicode MS" w:hAnsi="Arial" w:cs="Arial"/>
        </w:rPr>
        <w:t xml:space="preserve"> de los artículos 1, 2, 4</w:t>
      </w:r>
      <w:r w:rsidR="00424DB5" w:rsidRPr="005E1FFF">
        <w:rPr>
          <w:rFonts w:ascii="Arial" w:eastAsia="Arial Unicode MS" w:hAnsi="Arial" w:cs="Arial"/>
        </w:rPr>
        <w:t>, fracción IV;</w:t>
      </w:r>
      <w:r w:rsidRPr="005E1FFF">
        <w:rPr>
          <w:rFonts w:ascii="Arial" w:eastAsia="Arial Unicode MS" w:hAnsi="Arial" w:cs="Arial"/>
        </w:rPr>
        <w:t xml:space="preserve"> 6 fracciones I y II; 7, 9 y 10</w:t>
      </w:r>
      <w:r w:rsidR="00424DB5" w:rsidRPr="005E1FFF">
        <w:rPr>
          <w:rFonts w:ascii="Arial" w:eastAsia="Arial Unicode MS" w:hAnsi="Arial" w:cs="Arial"/>
        </w:rPr>
        <w:t>,</w:t>
      </w:r>
      <w:r w:rsidRPr="005E1FFF">
        <w:rPr>
          <w:rFonts w:ascii="Arial" w:eastAsia="Arial Unicode MS" w:hAnsi="Arial" w:cs="Arial"/>
        </w:rPr>
        <w:t xml:space="preserve"> fracción XXVIII</w:t>
      </w:r>
      <w:r w:rsidR="00424DB5" w:rsidRPr="005E1FFF">
        <w:rPr>
          <w:rFonts w:ascii="Arial" w:eastAsia="Arial Unicode MS" w:hAnsi="Arial" w:cs="Arial"/>
        </w:rPr>
        <w:t>,</w:t>
      </w:r>
      <w:r w:rsidRPr="005E1FFF">
        <w:rPr>
          <w:rFonts w:ascii="Arial" w:eastAsia="Arial Unicode MS" w:hAnsi="Arial" w:cs="Arial"/>
        </w:rPr>
        <w:t xml:space="preserve"> del Reglamento Interior de la Comisión Estatal de Garantía de A</w:t>
      </w:r>
      <w:r w:rsidR="007D4729" w:rsidRPr="005E1FFF">
        <w:rPr>
          <w:rFonts w:ascii="Arial" w:eastAsia="Arial Unicode MS" w:hAnsi="Arial" w:cs="Arial"/>
        </w:rPr>
        <w:t>cceso a la Información Pública</w:t>
      </w:r>
      <w:r w:rsidR="00545919" w:rsidRPr="005E1FFF">
        <w:rPr>
          <w:rFonts w:ascii="Arial" w:eastAsia="Arial Unicode MS" w:hAnsi="Arial" w:cs="Arial"/>
        </w:rPr>
        <w:t>.</w:t>
      </w:r>
    </w:p>
    <w:p w:rsidR="0027003D" w:rsidRPr="00D02FBD" w:rsidRDefault="0027003D" w:rsidP="0027003D">
      <w:pPr>
        <w:pStyle w:val="Textoindependienteprimerasangra"/>
        <w:spacing w:before="240"/>
        <w:ind w:firstLine="900"/>
        <w:rPr>
          <w:rFonts w:ascii="Arial" w:eastAsia="Arial Unicode MS" w:hAnsi="Arial" w:cs="Arial"/>
          <w:color w:val="262626" w:themeColor="text1" w:themeTint="D9"/>
        </w:rPr>
      </w:pPr>
      <w:r w:rsidRPr="00D02FBD">
        <w:rPr>
          <w:rFonts w:ascii="Arial" w:eastAsia="Arial Unicode MS" w:hAnsi="Arial" w:cs="Arial"/>
          <w:b/>
          <w:color w:val="262626" w:themeColor="text1" w:themeTint="D9"/>
        </w:rPr>
        <w:t xml:space="preserve">SEGUNDO. Procedibilidad y Oportunidad. </w:t>
      </w:r>
      <w:r w:rsidRPr="00D02FBD">
        <w:rPr>
          <w:rFonts w:ascii="Arial" w:eastAsia="Arial Unicode MS" w:hAnsi="Arial" w:cs="Arial"/>
          <w:color w:val="262626" w:themeColor="text1" w:themeTint="D9"/>
        </w:rPr>
        <w:t>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27003D" w:rsidRPr="00D02FBD" w:rsidRDefault="0027003D" w:rsidP="0027003D">
      <w:pPr>
        <w:pStyle w:val="Textoindependienteprimerasangra"/>
        <w:spacing w:before="240"/>
        <w:ind w:firstLine="900"/>
        <w:rPr>
          <w:rFonts w:ascii="Arial" w:eastAsia="Arial Unicode MS" w:hAnsi="Arial" w:cs="Arial"/>
          <w:color w:val="262626" w:themeColor="text1" w:themeTint="D9"/>
        </w:rPr>
      </w:pPr>
      <w:r w:rsidRPr="00D02FBD">
        <w:rPr>
          <w:rFonts w:ascii="Arial" w:eastAsia="Arial Unicode MS" w:hAnsi="Arial" w:cs="Arial"/>
          <w:color w:val="262626" w:themeColor="text1" w:themeTint="D9"/>
        </w:rPr>
        <w:t xml:space="preserve">El recurso de revisión fue interpuesto dentro del plazo de quince días hábiles previsto en el artículo 166 de la Ley de Transparencia del Estado, toda vez que </w:t>
      </w:r>
      <w:r w:rsidR="00C97EDF">
        <w:rPr>
          <w:rFonts w:ascii="Arial" w:eastAsia="Arial Unicode MS" w:hAnsi="Arial" w:cs="Arial"/>
          <w:color w:val="262626" w:themeColor="text1" w:themeTint="D9"/>
        </w:rPr>
        <w:t>el sujeto obligado notificó la integralidad de su respuesta el</w:t>
      </w:r>
      <w:r w:rsidRPr="00D02FBD">
        <w:rPr>
          <w:rFonts w:ascii="Arial" w:eastAsia="Arial Unicode MS" w:hAnsi="Arial" w:cs="Arial"/>
          <w:color w:val="262626" w:themeColor="text1" w:themeTint="D9"/>
        </w:rPr>
        <w:t xml:space="preserve"> </w:t>
      </w:r>
      <w:r w:rsidR="00C97EDF">
        <w:rPr>
          <w:rFonts w:ascii="Arial" w:eastAsia="Arial Unicode MS" w:hAnsi="Arial" w:cs="Arial"/>
          <w:b/>
          <w:color w:val="262626" w:themeColor="text1" w:themeTint="D9"/>
        </w:rPr>
        <w:t>veinticuatro</w:t>
      </w:r>
      <w:r w:rsidR="00AC2F9A">
        <w:rPr>
          <w:rFonts w:ascii="Arial" w:eastAsia="Arial Unicode MS" w:hAnsi="Arial" w:cs="Arial"/>
          <w:b/>
          <w:color w:val="262626" w:themeColor="text1" w:themeTint="D9"/>
        </w:rPr>
        <w:t xml:space="preserve"> de noviembre de dos mil diecisiete</w:t>
      </w:r>
      <w:r w:rsidRPr="00D02FBD">
        <w:rPr>
          <w:rFonts w:ascii="Arial" w:eastAsia="Arial Unicode MS" w:hAnsi="Arial" w:cs="Arial"/>
          <w:color w:val="262626" w:themeColor="text1" w:themeTint="D9"/>
        </w:rPr>
        <w:t>; por tanto, al ser presentado el recurso el</w:t>
      </w:r>
      <w:r w:rsidR="00C97EDF">
        <w:rPr>
          <w:rFonts w:ascii="Arial" w:eastAsia="Arial Unicode MS" w:hAnsi="Arial" w:cs="Arial"/>
          <w:color w:val="262626" w:themeColor="text1" w:themeTint="D9"/>
        </w:rPr>
        <w:t xml:space="preserve"> </w:t>
      </w:r>
      <w:r w:rsidR="00C97EDF" w:rsidRPr="00C97EDF">
        <w:rPr>
          <w:rFonts w:ascii="Arial" w:eastAsia="Arial Unicode MS" w:hAnsi="Arial" w:cs="Arial"/>
          <w:b/>
          <w:color w:val="262626" w:themeColor="text1" w:themeTint="D9"/>
        </w:rPr>
        <w:t>primero de diciembre de dos mil diecisiete</w:t>
      </w:r>
      <w:r w:rsidRPr="00D02FBD">
        <w:rPr>
          <w:rFonts w:ascii="Arial" w:eastAsia="Arial Unicode MS" w:hAnsi="Arial" w:cs="Arial"/>
          <w:color w:val="262626" w:themeColor="text1" w:themeTint="D9"/>
        </w:rPr>
        <w:t xml:space="preserve">, se advierte que lo interpuso al </w:t>
      </w:r>
      <w:r w:rsidR="00C97EDF">
        <w:rPr>
          <w:rFonts w:ascii="Arial" w:eastAsia="Arial Unicode MS" w:hAnsi="Arial" w:cs="Arial"/>
          <w:color w:val="262626" w:themeColor="text1" w:themeTint="D9"/>
        </w:rPr>
        <w:t>quinto</w:t>
      </w:r>
      <w:r w:rsidRPr="00D02FBD">
        <w:rPr>
          <w:rFonts w:ascii="Arial" w:eastAsia="Arial Unicode MS" w:hAnsi="Arial" w:cs="Arial"/>
          <w:color w:val="262626" w:themeColor="text1" w:themeTint="D9"/>
        </w:rPr>
        <w:t xml:space="preserve"> día con que contaba para ello</w:t>
      </w:r>
      <w:r>
        <w:rPr>
          <w:rFonts w:ascii="Arial" w:eastAsia="Arial Unicode MS" w:hAnsi="Arial" w:cs="Arial"/>
          <w:color w:val="262626" w:themeColor="text1" w:themeTint="D9"/>
        </w:rPr>
        <w:t>, ello conforme al calendario de esta Comisión</w:t>
      </w:r>
      <w:r w:rsidRPr="00D02FBD">
        <w:rPr>
          <w:rFonts w:ascii="Arial" w:eastAsia="Arial Unicode MS" w:hAnsi="Arial" w:cs="Arial"/>
          <w:color w:val="262626" w:themeColor="text1" w:themeTint="D9"/>
        </w:rPr>
        <w:t>, es decir, dentro del plazo reconocido por el numeral</w:t>
      </w:r>
      <w:r w:rsidRPr="00D02FBD">
        <w:rPr>
          <w:rFonts w:ascii="Arial" w:hAnsi="Arial" w:cs="Arial"/>
          <w:color w:val="262626" w:themeColor="text1" w:themeTint="D9"/>
          <w:lang w:val="es-MX"/>
        </w:rPr>
        <w:t xml:space="preserve"> 166 de la Ley de Transparencia del Estado, por lo que se concluye que se encuentra dentro de los márgenes temporales previstos en el precepto legal citado.</w:t>
      </w:r>
    </w:p>
    <w:p w:rsidR="0027003D" w:rsidRDefault="0027003D" w:rsidP="0027003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C97EDF" w:rsidRPr="00A2305E" w:rsidRDefault="00C97EDF" w:rsidP="00C97EDF">
      <w:pPr>
        <w:pStyle w:val="Textoindependienteprimerasangra"/>
        <w:spacing w:before="240"/>
        <w:ind w:firstLine="900"/>
        <w:rPr>
          <w:rFonts w:ascii="Arial" w:hAnsi="Arial" w:cs="Arial"/>
          <w:lang w:val="es-MX"/>
        </w:rPr>
      </w:pPr>
      <w:r w:rsidRPr="00A2305E">
        <w:rPr>
          <w:rFonts w:ascii="Arial" w:hAnsi="Arial" w:cs="Arial"/>
          <w:b/>
          <w:lang w:val="es-MX"/>
        </w:rPr>
        <w:lastRenderedPageBreak/>
        <w:t>TERCERO. Sobreseimiento.</w:t>
      </w:r>
      <w:r w:rsidRPr="00A2305E">
        <w:rPr>
          <w:rFonts w:ascii="Arial" w:hAnsi="Arial" w:cs="Arial"/>
          <w:lang w:val="es-MX"/>
        </w:rPr>
        <w:t xml:space="preserve"> Esta Comisión estima que en el caso concreto se actualiza la hipótesis prevista por la fracción VI del artículo 179 de la Ley de Transparencia y Acceso a la Información Pública del Estado, por lo que al ser admitido el presente medio de impugnación procede, a su vez, de conformidad con los dispuesto por el artículo 180, fracción IV, de la citada ley, el sobreseimiento al configurarse una causa de improcedencia, misma que consiste en que el particular en su recurso de revisión realizó diversas manifestaciones tendientes a controvertir la veracidad y legalidad de la información proporcionada.</w:t>
      </w:r>
    </w:p>
    <w:p w:rsidR="00C97EDF" w:rsidRPr="00A2305E" w:rsidRDefault="00C97EDF" w:rsidP="00C97EDF">
      <w:pPr>
        <w:pStyle w:val="Textoindependienteprimerasangra"/>
        <w:spacing w:before="240"/>
        <w:ind w:firstLine="900"/>
        <w:rPr>
          <w:rFonts w:ascii="Arial" w:eastAsia="Arial Unicode MS" w:hAnsi="Arial" w:cs="Arial"/>
        </w:rPr>
      </w:pPr>
      <w:r w:rsidRPr="00A2305E">
        <w:rPr>
          <w:rFonts w:ascii="Arial" w:hAnsi="Arial" w:cs="Arial"/>
          <w:lang w:val="es-MX"/>
        </w:rPr>
        <w:t xml:space="preserve">El particular en su escrito de inconformidad estructuró sus manifestaciones en atención a los diversos documentos puestos a su disposición por parte </w:t>
      </w:r>
      <w:r>
        <w:rPr>
          <w:rFonts w:ascii="Arial" w:hAnsi="Arial" w:cs="Arial"/>
          <w:lang w:val="es-MX"/>
        </w:rPr>
        <w:t xml:space="preserve">de la </w:t>
      </w:r>
      <w:proofErr w:type="gramStart"/>
      <w:r>
        <w:rPr>
          <w:rFonts w:ascii="Arial" w:hAnsi="Arial" w:cs="Arial"/>
          <w:lang w:val="es-MX"/>
        </w:rPr>
        <w:t>Jefa</w:t>
      </w:r>
      <w:proofErr w:type="gramEnd"/>
      <w:r>
        <w:rPr>
          <w:rFonts w:ascii="Arial" w:hAnsi="Arial" w:cs="Arial"/>
          <w:lang w:val="es-MX"/>
        </w:rPr>
        <w:t xml:space="preserve"> del Departamento de Control Escolar del Sistema Educativo Estatal Regular y </w:t>
      </w:r>
      <w:r w:rsidRPr="00A2305E">
        <w:rPr>
          <w:rFonts w:ascii="Arial" w:hAnsi="Arial" w:cs="Arial"/>
          <w:lang w:val="es-MX"/>
        </w:rPr>
        <w:t>del Director de la Benemérita y Centenaria Escuela Normal del Estado</w:t>
      </w:r>
      <w:r>
        <w:rPr>
          <w:rFonts w:ascii="Arial" w:hAnsi="Arial" w:cs="Arial"/>
          <w:lang w:val="es-MX"/>
        </w:rPr>
        <w:t>.</w:t>
      </w:r>
    </w:p>
    <w:p w:rsidR="00C97EDF" w:rsidRPr="00A2305E" w:rsidRDefault="00C97EDF" w:rsidP="00C97EDF">
      <w:pPr>
        <w:pStyle w:val="Textoindependienteprimerasangra"/>
        <w:spacing w:before="240"/>
        <w:ind w:firstLine="900"/>
        <w:rPr>
          <w:rFonts w:ascii="Arial" w:hAnsi="Arial" w:cs="Arial"/>
          <w:lang w:val="es-MX"/>
        </w:rPr>
      </w:pPr>
      <w:r w:rsidRPr="00A2305E">
        <w:rPr>
          <w:rFonts w:ascii="Arial" w:hAnsi="Arial" w:cs="Arial"/>
          <w:lang w:val="es-MX"/>
        </w:rPr>
        <w:t xml:space="preserve">Del análisis de los puntos que formuló, se advierte que por una parte ataca la legitimidad de la información al aducir la ilegalidad </w:t>
      </w:r>
      <w:r>
        <w:rPr>
          <w:rFonts w:ascii="Arial" w:hAnsi="Arial" w:cs="Arial"/>
          <w:lang w:val="es-MX"/>
        </w:rPr>
        <w:t>en que se encuentra</w:t>
      </w:r>
      <w:r w:rsidRPr="00A2305E">
        <w:rPr>
          <w:rFonts w:ascii="Arial" w:hAnsi="Arial" w:cs="Arial"/>
          <w:lang w:val="es-MX"/>
        </w:rPr>
        <w:t>, lo que se traduce en una impugnación directa de los elementos que revisten el acto materia de su solicitud</w:t>
      </w:r>
      <w:r>
        <w:rPr>
          <w:rFonts w:ascii="Arial" w:hAnsi="Arial" w:cs="Arial"/>
          <w:lang w:val="es-MX"/>
        </w:rPr>
        <w:t xml:space="preserve"> y, por otra parte, se duele de los términos en que dicha documentación se generó, es decir, las discrepancias </w:t>
      </w:r>
      <w:r w:rsidR="00BB3718">
        <w:rPr>
          <w:rFonts w:ascii="Arial" w:hAnsi="Arial" w:cs="Arial"/>
          <w:lang w:val="es-MX"/>
        </w:rPr>
        <w:t>en que supuestamente incurre el sujeto obligado al actuar. E</w:t>
      </w:r>
      <w:r w:rsidRPr="00A2305E">
        <w:rPr>
          <w:rFonts w:ascii="Arial" w:hAnsi="Arial" w:cs="Arial"/>
          <w:lang w:val="es-MX"/>
        </w:rPr>
        <w:t xml:space="preserve">sta Comisión no es un órgano facultado para revisar la legalidad de actos o procedimientos administrativos, toda vez que para ello las diversas leyes que integran el sistema jurídico mexicano establecen medios de control de legalidad de la actuación de </w:t>
      </w:r>
      <w:proofErr w:type="gramStart"/>
      <w:r w:rsidRPr="00A2305E">
        <w:rPr>
          <w:rFonts w:ascii="Arial" w:hAnsi="Arial" w:cs="Arial"/>
          <w:lang w:val="es-MX"/>
        </w:rPr>
        <w:t>las autoridad</w:t>
      </w:r>
      <w:proofErr w:type="gramEnd"/>
      <w:r w:rsidRPr="00A2305E">
        <w:rPr>
          <w:rFonts w:ascii="Arial" w:hAnsi="Arial" w:cs="Arial"/>
          <w:lang w:val="es-MX"/>
        </w:rPr>
        <w:t>.</w:t>
      </w:r>
    </w:p>
    <w:p w:rsidR="00C97EDF" w:rsidRPr="00A2305E" w:rsidRDefault="00C97EDF" w:rsidP="00C97EDF">
      <w:pPr>
        <w:pStyle w:val="Textoindependienteprimerasangra"/>
        <w:spacing w:before="240"/>
        <w:ind w:firstLine="900"/>
        <w:rPr>
          <w:rFonts w:ascii="Arial" w:hAnsi="Arial" w:cs="Arial"/>
        </w:rPr>
      </w:pPr>
      <w:r w:rsidRPr="00A2305E">
        <w:rPr>
          <w:rFonts w:ascii="Arial" w:hAnsi="Arial" w:cs="Arial"/>
          <w:lang w:val="es-MX"/>
        </w:rPr>
        <w:t xml:space="preserve">Para reforzar lo anterior, resulta aplicable la tesis aislada </w:t>
      </w:r>
      <w:r w:rsidRPr="00A2305E">
        <w:rPr>
          <w:rFonts w:ascii="Arial" w:hAnsi="Arial" w:cs="Arial"/>
        </w:rPr>
        <w:t>IV.2o.A.51 K (10a.), emitida por el Segundo Tribunal Colegiado en materia Administrativa del Cuarto Circuito, la cual establece:</w:t>
      </w:r>
    </w:p>
    <w:p w:rsidR="00C97EDF" w:rsidRPr="00A2305E" w:rsidRDefault="00C97EDF" w:rsidP="00C97EDF">
      <w:pPr>
        <w:spacing w:line="240" w:lineRule="auto"/>
        <w:ind w:left="851" w:firstLine="709"/>
        <w:rPr>
          <w:rFonts w:ascii="Arial" w:hAnsi="Arial" w:cs="Arial"/>
          <w:b/>
          <w:bCs/>
          <w:i/>
          <w:sz w:val="22"/>
          <w:szCs w:val="26"/>
          <w:lang w:val="es-MX" w:eastAsia="es-MX"/>
        </w:rPr>
      </w:pPr>
      <w:r w:rsidRPr="00A2305E">
        <w:rPr>
          <w:rFonts w:ascii="Arial" w:hAnsi="Arial" w:cs="Arial"/>
          <w:b/>
          <w:bCs/>
          <w:i/>
          <w:sz w:val="22"/>
          <w:szCs w:val="26"/>
          <w:lang w:val="es-MX" w:eastAsia="es-MX"/>
        </w:rPr>
        <w:t>PRINCIPIO DE LEGALIDAD. CARACTERÍSTICAS DE SU DOBLE FUNCIONALIDAD TRATÁNDOSE DEL ACTO ADMINISTRATIVO Y SU RELACIÓN CON EL DIVERSO DE INTERDICCIÓN DE LA ARBITRARIEDAD Y EL CONTROL JURISDICCIONAL.</w:t>
      </w:r>
    </w:p>
    <w:p w:rsidR="00C97EDF" w:rsidRPr="00A2305E" w:rsidRDefault="00C97EDF" w:rsidP="00C97EDF">
      <w:pPr>
        <w:spacing w:line="240" w:lineRule="auto"/>
        <w:ind w:left="709" w:firstLine="709"/>
        <w:jc w:val="left"/>
        <w:rPr>
          <w:rFonts w:ascii="Arial" w:hAnsi="Arial" w:cs="Arial"/>
          <w:i/>
          <w:sz w:val="20"/>
          <w:lang w:val="es-MX" w:eastAsia="es-MX"/>
        </w:rPr>
      </w:pPr>
    </w:p>
    <w:p w:rsidR="00C97EDF" w:rsidRPr="00A2305E" w:rsidRDefault="00C97EDF" w:rsidP="00C97EDF">
      <w:pPr>
        <w:spacing w:line="240" w:lineRule="auto"/>
        <w:ind w:left="851" w:firstLine="709"/>
        <w:rPr>
          <w:rFonts w:ascii="Arial" w:hAnsi="Arial" w:cs="Arial"/>
          <w:i/>
          <w:sz w:val="22"/>
          <w:szCs w:val="26"/>
          <w:lang w:val="es-MX" w:eastAsia="es-MX"/>
        </w:rPr>
      </w:pPr>
      <w:r w:rsidRPr="00A2305E">
        <w:rPr>
          <w:rFonts w:ascii="Arial" w:hAnsi="Arial" w:cs="Arial"/>
          <w:i/>
          <w:sz w:val="22"/>
          <w:szCs w:val="26"/>
          <w:lang w:val="es-MX" w:eastAsia="es-MX"/>
        </w:rPr>
        <w:lastRenderedPageBreak/>
        <w:t>Del artículo</w:t>
      </w:r>
      <w:r w:rsidRPr="00A2305E">
        <w:rPr>
          <w:rFonts w:ascii="Arial" w:hAnsi="Arial" w:cs="Arial"/>
          <w:i/>
          <w:sz w:val="22"/>
          <w:lang w:val="es-MX" w:eastAsia="es-MX"/>
        </w:rPr>
        <w:t> </w:t>
      </w:r>
      <w:hyperlink r:id="rId8" w:history="1">
        <w:r w:rsidRPr="00A2305E">
          <w:rPr>
            <w:rFonts w:ascii="Arial" w:hAnsi="Arial" w:cs="Arial"/>
            <w:i/>
            <w:sz w:val="22"/>
            <w:lang w:val="es-MX" w:eastAsia="es-MX"/>
          </w:rPr>
          <w:t>16, primer párrafo, de la Constitución Política de los Estados Unidos Mexicanos</w:t>
        </w:r>
      </w:hyperlink>
      <w:r w:rsidRPr="00A2305E">
        <w:rPr>
          <w:rFonts w:ascii="Arial" w:hAnsi="Arial" w:cs="Arial"/>
          <w:i/>
          <w:sz w:val="22"/>
          <w:szCs w:val="26"/>
          <w:lang w:val="es-MX" w:eastAsia="es-MX"/>
        </w:rPr>
        <w:t>, se advierten los requisitos de mandamiento escrito, autoridad competente y fundamentación y motivación, como garantías instrumentales que, a su vez, revelan la adopción en el régimen jurídico nacional del principio de legalidad, como una garantía del derecho humano a la seguridad jurídica, acorde al cual las autoridades sólo pueden hacer aquello para lo que expresamente les facultan las leyes, en el entendido de que éstas, a su vez, constituyen la manifestación de la voluntad general. Bajo esa premisa, el principio mencionado tiene una doble funcionalidad, particularmente tratándose del acto administrativo, pues, por un lado, impone un régimen de facultades expresas en el que todo acto de autoridad que no represente el ejercicio de una facultad expresamente conferida en la ley a quien lo emite, se considerará arbitrario y, por ello, contrario al derecho a la seguridad jurídica, lo que legitima a las personas para cuestionar la validez de un acto desajustado a las leyes, pero, por otro, bajo la adopción del mismo principio como base de todo el ordenamiento, se genera la presunción de que toda actuación de la autoridad deriva del ejercicio de una facultad que la ley le confiere, en tanto no se demuestre lo contrario, presunción de legalidad ampliamente reconocida tanto en la doctrina como en la legislación nacional. Así, el principio de legalidad, apreciado en su 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recurrir a los órganos de control a hacer valer la asumida ausencia o insuficiencia de fundamento legal y motivación dentro de dicho procedimiento y, a su vez, corresponderá a la autoridad demostrar que el acto cuestionado encuentra sustento en una facultad prevista por la norma, so pena de que sea declarado contrario al derecho a la seguridad jurídica, lo que revela que los procedimientos de control jurisdiccional, constituyen la última garantía de verificación del respeto al derecho a la seguridad jurídica, cuyas reglas deben ser conducentes y congruentes con ese propósito.</w:t>
      </w:r>
    </w:p>
    <w:p w:rsidR="00C97EDF" w:rsidRPr="00A2305E" w:rsidRDefault="00C97EDF" w:rsidP="00C97EDF">
      <w:pPr>
        <w:spacing w:before="240"/>
        <w:rPr>
          <w:rFonts w:ascii="Arial" w:hAnsi="Arial" w:cs="Arial"/>
        </w:rPr>
      </w:pPr>
      <w:r w:rsidRPr="00A2305E">
        <w:rPr>
          <w:rFonts w:ascii="Arial" w:hAnsi="Arial" w:cs="Arial"/>
        </w:rPr>
        <w:tab/>
        <w:t>Atento al contenido de la tesis aislada invocada, criterio al que se adhiere este Órgano Colegiado, se advierte que las autoridades sólo pueden actuar bajo el marco de sus atribuciones, para lo cual esta Comisión solamente es competente para conocer y resolver respecto de las inconformidades que se ajusten al artículo 167 de la Ley de Transparencia y Acceso a la Información Pública del Estado, así como de las violaciones que, con base en el artículo 14 de la Ley Local de Transparencia y Acceso a la Información Pública, detecte en uso de la suplencia a favor del gobernado.</w:t>
      </w:r>
    </w:p>
    <w:p w:rsidR="00C97EDF" w:rsidRPr="00A2305E" w:rsidRDefault="00C97EDF" w:rsidP="00C97EDF">
      <w:pPr>
        <w:spacing w:before="240"/>
        <w:rPr>
          <w:rFonts w:ascii="Arial" w:hAnsi="Arial" w:cs="Arial"/>
        </w:rPr>
      </w:pPr>
      <w:r w:rsidRPr="00A2305E">
        <w:rPr>
          <w:rFonts w:ascii="Arial" w:hAnsi="Arial" w:cs="Arial"/>
        </w:rPr>
        <w:tab/>
        <w:t xml:space="preserve">Ahora bien, como ya se dijo, el pronunciarse respecto a las manifestaciones de ilegalidad representaría ir más allá de las facultades con las que cuenta esta Comisión, pues el estudio de fondo de ellas implicaría un análisis de los elementos de legalidad de la actuación </w:t>
      </w:r>
      <w:r w:rsidRPr="00A2305E">
        <w:rPr>
          <w:rFonts w:ascii="Arial" w:hAnsi="Arial" w:cs="Arial"/>
        </w:rPr>
        <w:lastRenderedPageBreak/>
        <w:t>administrativa de</w:t>
      </w:r>
      <w:r w:rsidR="00BB3718">
        <w:rPr>
          <w:rFonts w:ascii="Arial" w:hAnsi="Arial" w:cs="Arial"/>
        </w:rPr>
        <w:t>l sujeto obligado</w:t>
      </w:r>
      <w:r w:rsidRPr="00A2305E">
        <w:rPr>
          <w:rFonts w:ascii="Arial" w:hAnsi="Arial" w:cs="Arial"/>
        </w:rPr>
        <w:t>, y en nada se encuentra relacionado con la transparencia, ya que el acceso a la información funge como un derecho en sí mismo y como un medio o instrumento para el ejercicio de otros derechos, lo que concatenado con el principio de rendición de cuentas reconocido por el artículo 2°, fracción VII</w:t>
      </w:r>
      <w:r>
        <w:rPr>
          <w:rFonts w:ascii="Arial" w:hAnsi="Arial" w:cs="Arial"/>
        </w:rPr>
        <w:t>,</w:t>
      </w:r>
      <w:r w:rsidRPr="00A2305E">
        <w:rPr>
          <w:rFonts w:ascii="Arial" w:hAnsi="Arial" w:cs="Arial"/>
        </w:rPr>
        <w:t xml:space="preserve"> de la Ley General de Transparencia y Acceso a la Información Pública, implica que los particulares tengan conocimiento de la actuación de la autoridad para que sepan cómo se lleva la conducción que ejercen los servidores públicos que se encuentran adscritos a ésta y puedan utilizar lo entregado de las múltiples formas que las normas permiten</w:t>
      </w:r>
      <w:r w:rsidR="00BB3718">
        <w:rPr>
          <w:rFonts w:ascii="Arial" w:hAnsi="Arial" w:cs="Arial"/>
        </w:rPr>
        <w:t>, es decir, esta Comisión de ninguna manera podría entrar al estudio de la función pública, sino solamente puede advertir que se entregue a los particulares la información que obra en los archivos de éstos</w:t>
      </w:r>
      <w:r w:rsidRPr="00A2305E">
        <w:rPr>
          <w:rFonts w:ascii="Arial" w:hAnsi="Arial" w:cs="Arial"/>
        </w:rPr>
        <w:t>.</w:t>
      </w:r>
    </w:p>
    <w:p w:rsidR="00C97EDF" w:rsidRPr="00A2305E" w:rsidRDefault="00C97EDF" w:rsidP="00C97EDF">
      <w:pPr>
        <w:spacing w:before="240"/>
        <w:rPr>
          <w:rFonts w:ascii="Arial" w:hAnsi="Arial" w:cs="Arial"/>
        </w:rPr>
      </w:pPr>
      <w:r w:rsidRPr="00A2305E">
        <w:rPr>
          <w:rFonts w:ascii="Arial" w:hAnsi="Arial" w:cs="Arial"/>
        </w:rPr>
        <w:tab/>
        <w:t xml:space="preserve">Vale destacar que las inconformidades que aduce el particular son resultado del derecho de acceso a la información, puesto que éste a través del análisis de las constancias y documentos que le proporcionan está en condiciones de formular oposiciones, sean fundadas o no, al actuar de la autoridad, lo que en </w:t>
      </w:r>
      <w:r w:rsidR="00BB3718" w:rsidRPr="00A2305E">
        <w:rPr>
          <w:rFonts w:ascii="Arial" w:hAnsi="Arial" w:cs="Arial"/>
        </w:rPr>
        <w:t>sí</w:t>
      </w:r>
      <w:r w:rsidRPr="00A2305E">
        <w:rPr>
          <w:rFonts w:ascii="Arial" w:hAnsi="Arial" w:cs="Arial"/>
        </w:rPr>
        <w:t xml:space="preserve"> mismo representa el uso </w:t>
      </w:r>
      <w:r w:rsidR="00BB3718" w:rsidRPr="00A2305E">
        <w:rPr>
          <w:rFonts w:ascii="Arial" w:hAnsi="Arial" w:cs="Arial"/>
        </w:rPr>
        <w:t>legítimo</w:t>
      </w:r>
      <w:r w:rsidRPr="00A2305E">
        <w:rPr>
          <w:rFonts w:ascii="Arial" w:hAnsi="Arial" w:cs="Arial"/>
        </w:rPr>
        <w:t xml:space="preserve"> del derecho tutelado por esta Comisión; pese a ello, resulta que el presente medio de impugnación no es el instrumento para impugnar la veracidad y legalidad de los documentos puestos a disposición; como consecuencia natural, se procede decretar el sobreseimiento de la causa solamente respecto de aquellas manifestaciones que controvierten la legalidad de la actuación de la autoridad respecto a la generación de la documentación.</w:t>
      </w:r>
    </w:p>
    <w:p w:rsidR="00C97EDF" w:rsidRPr="00A2305E" w:rsidRDefault="00C97EDF" w:rsidP="00BB3718">
      <w:pPr>
        <w:spacing w:before="240"/>
        <w:ind w:firstLine="708"/>
        <w:rPr>
          <w:rFonts w:ascii="Arial" w:hAnsi="Arial" w:cs="Arial"/>
        </w:rPr>
      </w:pPr>
      <w:r w:rsidRPr="00A2305E">
        <w:rPr>
          <w:rFonts w:ascii="Arial" w:hAnsi="Arial" w:cs="Arial"/>
        </w:rPr>
        <w:tab/>
        <w:t xml:space="preserve">Al caso concreto, en su inconformidad contra </w:t>
      </w:r>
      <w:r w:rsidR="00BB3718">
        <w:rPr>
          <w:rFonts w:ascii="Arial" w:hAnsi="Arial" w:cs="Arial"/>
        </w:rPr>
        <w:t>los</w:t>
      </w:r>
      <w:r w:rsidRPr="00A2305E">
        <w:rPr>
          <w:rFonts w:ascii="Arial" w:hAnsi="Arial" w:cs="Arial"/>
        </w:rPr>
        <w:t xml:space="preserve"> ofi</w:t>
      </w:r>
      <w:r>
        <w:rPr>
          <w:rFonts w:ascii="Arial" w:hAnsi="Arial" w:cs="Arial"/>
        </w:rPr>
        <w:t>cio</w:t>
      </w:r>
      <w:r w:rsidR="00BB3718">
        <w:rPr>
          <w:rFonts w:ascii="Arial" w:hAnsi="Arial" w:cs="Arial"/>
        </w:rPr>
        <w:t>s</w:t>
      </w:r>
      <w:r>
        <w:rPr>
          <w:rFonts w:ascii="Arial" w:hAnsi="Arial" w:cs="Arial"/>
        </w:rPr>
        <w:t xml:space="preserve"> </w:t>
      </w:r>
      <w:r w:rsidR="00BB3718">
        <w:rPr>
          <w:rFonts w:ascii="Arial" w:hAnsi="Arial" w:cs="Arial"/>
        </w:rPr>
        <w:t>DCE/195/2017-2018</w:t>
      </w:r>
      <w:r w:rsidR="00BB3718">
        <w:rPr>
          <w:rFonts w:ascii="Arial" w:hAnsi="Arial" w:cs="Arial"/>
        </w:rPr>
        <w:t xml:space="preserve">  y </w:t>
      </w:r>
      <w:r w:rsidR="00BB3718">
        <w:rPr>
          <w:rFonts w:ascii="Arial" w:hAnsi="Arial" w:cs="Arial"/>
        </w:rPr>
        <w:t>DG/623/2017-2018</w:t>
      </w:r>
      <w:r w:rsidRPr="00A2305E">
        <w:rPr>
          <w:rFonts w:ascii="Arial" w:hAnsi="Arial" w:cs="Arial"/>
        </w:rPr>
        <w:t>, por el cual alega</w:t>
      </w:r>
      <w:r w:rsidR="00BB3718">
        <w:rPr>
          <w:rFonts w:ascii="Arial" w:hAnsi="Arial" w:cs="Arial"/>
        </w:rPr>
        <w:t xml:space="preserve"> la presunta incongruencia que presenta la información</w:t>
      </w:r>
      <w:r w:rsidRPr="00A2305E">
        <w:rPr>
          <w:rFonts w:ascii="Arial" w:hAnsi="Arial" w:cs="Arial"/>
        </w:rPr>
        <w:t xml:space="preserve">, resulta que efectivamente ataca el documento en cuanto a su </w:t>
      </w:r>
      <w:r w:rsidR="00BB3718">
        <w:rPr>
          <w:rFonts w:ascii="Arial" w:hAnsi="Arial" w:cs="Arial"/>
        </w:rPr>
        <w:t>contenido</w:t>
      </w:r>
      <w:r>
        <w:rPr>
          <w:rFonts w:ascii="Arial" w:hAnsi="Arial" w:cs="Arial"/>
        </w:rPr>
        <w:t>, puesto que</w:t>
      </w:r>
      <w:r w:rsidRPr="00A2305E">
        <w:rPr>
          <w:rFonts w:ascii="Arial" w:hAnsi="Arial" w:cs="Arial"/>
        </w:rPr>
        <w:t xml:space="preserve"> le atribuye una deficiencia que implica analizar el documento a la luz del acto que le dio origen y ello contraviene los principios y bases de la normatividad aplicable a la materia, pues trae consigo, como se ha señalado en reiteradas </w:t>
      </w:r>
      <w:r w:rsidRPr="00A2305E">
        <w:rPr>
          <w:rFonts w:ascii="Arial" w:hAnsi="Arial" w:cs="Arial"/>
        </w:rPr>
        <w:lastRenderedPageBreak/>
        <w:t>ocasiones, pretender estudiar el documento en razón de las inconformidades del particular y quedaría el documento sujeto a un análisis de legalidad</w:t>
      </w:r>
      <w:r w:rsidR="00BB3718">
        <w:rPr>
          <w:rFonts w:ascii="Arial" w:hAnsi="Arial" w:cs="Arial"/>
        </w:rPr>
        <w:t xml:space="preserve"> y también así el de la autoridad emisora,</w:t>
      </w:r>
      <w:r w:rsidRPr="00A2305E">
        <w:rPr>
          <w:rFonts w:ascii="Arial" w:hAnsi="Arial" w:cs="Arial"/>
        </w:rPr>
        <w:t xml:space="preserve"> que no le corresponde a esta Comisión efectuar al no ser un órgano administrativo dotado de jurisdicción para determinar la ilegalidad administrativa </w:t>
      </w:r>
      <w:r w:rsidR="00BB3718">
        <w:rPr>
          <w:rFonts w:ascii="Arial" w:hAnsi="Arial" w:cs="Arial"/>
        </w:rPr>
        <w:t>en que pudiera incurrir alguna</w:t>
      </w:r>
      <w:r w:rsidRPr="00A2305E">
        <w:rPr>
          <w:rFonts w:ascii="Arial" w:hAnsi="Arial" w:cs="Arial"/>
        </w:rPr>
        <w:t xml:space="preserve"> autoridad. Para reforzar lo expuesto, resulta aplicable la Tesis de Jurisprudencia I.4o.A. J/49 emitida por el Cuarto Tribunal Colegiado en Materia Administrativa del Primer Circuito</w:t>
      </w:r>
      <w:r>
        <w:rPr>
          <w:rFonts w:ascii="Arial" w:hAnsi="Arial" w:cs="Arial"/>
        </w:rPr>
        <w:t>, la cual establece:</w:t>
      </w:r>
    </w:p>
    <w:p w:rsidR="00C97EDF" w:rsidRPr="00A2305E" w:rsidRDefault="00C97EDF" w:rsidP="00C97EDF">
      <w:pPr>
        <w:spacing w:before="240" w:line="240" w:lineRule="auto"/>
        <w:ind w:left="709" w:firstLine="709"/>
        <w:rPr>
          <w:rFonts w:ascii="Arial" w:hAnsi="Arial" w:cs="Arial"/>
          <w:i/>
          <w:sz w:val="22"/>
        </w:rPr>
      </w:pPr>
      <w:r w:rsidRPr="00A2305E">
        <w:rPr>
          <w:rFonts w:ascii="Arial" w:hAnsi="Arial" w:cs="Arial"/>
          <w:b/>
          <w:i/>
          <w:sz w:val="22"/>
        </w:rPr>
        <w:t>ACTO ADMINISTRATIVO. SU VALIDEZ Y EFICACIA NO SE AFECTAN CON MOTIVO DE "ILEGALIDADES NO INVALIDANTES" QUE NO TRASCIENDEN NI CAUSAN INDEFENSIÓN O AGRAVIO.</w:t>
      </w:r>
      <w:r w:rsidRPr="00A2305E">
        <w:rPr>
          <w:rFonts w:ascii="Arial" w:hAnsi="Arial" w:cs="Arial"/>
          <w:i/>
          <w:sz w:val="22"/>
        </w:rPr>
        <w:t xml:space="preserve"> </w:t>
      </w:r>
    </w:p>
    <w:p w:rsidR="00C97EDF" w:rsidRPr="00A2305E" w:rsidRDefault="00C97EDF" w:rsidP="00C97EDF">
      <w:pPr>
        <w:spacing w:before="240" w:line="240" w:lineRule="auto"/>
        <w:ind w:left="709" w:firstLine="709"/>
        <w:rPr>
          <w:rFonts w:ascii="Arial" w:hAnsi="Arial" w:cs="Arial"/>
          <w:i/>
          <w:sz w:val="22"/>
        </w:rPr>
      </w:pPr>
      <w:r w:rsidRPr="00A2305E">
        <w:rPr>
          <w:rFonts w:ascii="Arial" w:hAnsi="Arial" w:cs="Arial"/>
          <w:i/>
          <w:sz w:val="22"/>
        </w:rPr>
        <w:t xml:space="preserve">Si la ilegalidad del acto de autoridad no se traduce en un perjuicio que afecte al particular, resulta irrelevante tal vicio, en tanto que se obtuvo el fin deseado, es decir, otorgar la oportunidad al gobernado para que ofreciera pruebas y alegara lo que a su derecho conviniere. En consecuencia, es evidente que no se dan los supuestos de ilegalidad a que se refiere el artículo 238, fracción III, del Código Fiscal de la Federación, ya que no se afectaron las defensas del particular, por lo que al no satisfacerse las condiciones legales para la eficacia de la ilegalidad en comento, resulta indebido, en el caso, declarar una nulidad cuando la ratio </w:t>
      </w:r>
      <w:proofErr w:type="spellStart"/>
      <w:r w:rsidRPr="00A2305E">
        <w:rPr>
          <w:rFonts w:ascii="Arial" w:hAnsi="Arial" w:cs="Arial"/>
          <w:i/>
          <w:sz w:val="22"/>
        </w:rPr>
        <w:t>legis</w:t>
      </w:r>
      <w:proofErr w:type="spellEnd"/>
      <w:r w:rsidRPr="00A2305E">
        <w:rPr>
          <w:rFonts w:ascii="Arial" w:hAnsi="Arial" w:cs="Arial"/>
          <w:i/>
          <w:sz w:val="22"/>
        </w:rPr>
        <w:t xml:space="preserve"> es muy clara, en el sentido de preservar y conservar actuaciones de la autoridad administrativa que, aunque ilegales, no generan afectación al particular, pues también debe atenderse y perseguir el beneficio de intereses colectivos, conducentes a asegurar efectos tales como una adecuada y eficiente recaudación fiscal, lo que justifica la prevención, clara e incondicional del legislador, en el sentido de salvaguardar la validez y eficacia de ciertas actuaciones. Y es así, que el artículo 237 del Código Fiscal de la Federación desarrolla el principio de presunción de legitimidad y conservación de los actos administrativos, que incluye lo que en la teoría del derecho administrativo se conoce como "ilegalidades no invalidantes", respecto de las cuales, por supuesto, no procede declarar su nulidad, sino confirmar la validez del acto administrativo. Luego entonces, es necesario que tales omisiones o vicios afecten las defensas del particular y trasciendan al sentido de la resolución impugnada y que ocasionen un perjuicio efectivo, porque de lo contrario el concepto de anulación esgrimido sería insuficiente y ocioso para declarar la nulidad de la resolución administrativa impugnada”. </w:t>
      </w:r>
    </w:p>
    <w:p w:rsidR="00C97EDF" w:rsidRPr="00A2305E" w:rsidRDefault="00C97EDF" w:rsidP="00C97EDF">
      <w:pPr>
        <w:spacing w:before="240" w:after="240"/>
        <w:rPr>
          <w:rFonts w:ascii="Arial" w:hAnsi="Arial" w:cs="Arial"/>
        </w:rPr>
      </w:pPr>
      <w:r w:rsidRPr="00A2305E">
        <w:rPr>
          <w:rFonts w:ascii="Arial" w:hAnsi="Arial" w:cs="Arial"/>
        </w:rPr>
        <w:tab/>
        <w:t xml:space="preserve">Es importante puntualizar que la tesis antes transcrita resulta aplicable de manera modulada, es decir, que para efectos de la materia de transparencia, motivos de agravio o motivos de inconformidad realizados contra los documentos puestos a disposición mediante solicitudes de información no son sujetos a debate en el presente medio de impugnación, y aun y cuando los planteamientos que contra estos se realicen pudieran devenir de ilegalidades contenidas en el documento, para efectos de la </w:t>
      </w:r>
      <w:r w:rsidRPr="00A2305E">
        <w:rPr>
          <w:rFonts w:ascii="Arial" w:hAnsi="Arial" w:cs="Arial"/>
        </w:rPr>
        <w:lastRenderedPageBreak/>
        <w:t>materia no trascienden en la tutela efectiva del derecho de acceso, ya que la finalidad de éste derecho es propiamente que las personas conozcan la actuación administrativa de las autoridades, quienes podrán mediante los medios de control de legalidad conducentes impugnar o atacar la legalidad de dichos documentos; pero, la Ley General de Transparencia y Acceso a la Información Pública en su artículo 143 no establece como una hipótesis de procedencia las ilegalidades de forma y fondo de los documentos sujetos de ser transparentados.</w:t>
      </w:r>
    </w:p>
    <w:p w:rsidR="00C97EDF" w:rsidRPr="00BB3718" w:rsidRDefault="00C97EDF" w:rsidP="00BB3718">
      <w:pPr>
        <w:spacing w:before="240"/>
        <w:rPr>
          <w:rFonts w:ascii="Arial" w:hAnsi="Arial" w:cs="Arial"/>
        </w:rPr>
      </w:pPr>
      <w:r w:rsidRPr="00A2305E">
        <w:rPr>
          <w:rFonts w:ascii="Arial" w:hAnsi="Arial" w:cs="Arial"/>
        </w:rPr>
        <w:tab/>
        <w:t>Por todo lo anterior, resulta que en la especie procede decretar, parcialmente, el sobreseimiento de la presente causa en virtud de que el particular realizó diversas inconformidades tendientes a controvertir la veracidad de la información, ello al pretender combatir la legalidad de la información puesta a su disposición.</w:t>
      </w:r>
    </w:p>
    <w:p w:rsidR="00AC2F9A" w:rsidRDefault="00AC2F9A" w:rsidP="00BF120E">
      <w:pPr>
        <w:pStyle w:val="Textoindependienteprimerasangra"/>
        <w:spacing w:before="240"/>
        <w:ind w:firstLine="0"/>
        <w:rPr>
          <w:rFonts w:ascii="Arial" w:hAnsi="Arial" w:cs="Arial"/>
          <w:szCs w:val="26"/>
        </w:rPr>
      </w:pPr>
      <w:r>
        <w:rPr>
          <w:rFonts w:ascii="Arial" w:hAnsi="Arial" w:cs="Arial"/>
          <w:b/>
          <w:szCs w:val="26"/>
          <w:lang w:val="es-MX"/>
        </w:rPr>
        <w:tab/>
      </w:r>
      <w:r w:rsidR="00C97EDF">
        <w:rPr>
          <w:rFonts w:ascii="Arial" w:hAnsi="Arial" w:cs="Arial"/>
          <w:b/>
          <w:szCs w:val="26"/>
          <w:lang w:val="es-MX"/>
        </w:rPr>
        <w:t>CUARTO</w:t>
      </w:r>
      <w:r w:rsidR="003C3862" w:rsidRPr="00AC2F9A">
        <w:rPr>
          <w:rFonts w:ascii="Arial" w:hAnsi="Arial" w:cs="Arial"/>
          <w:b/>
          <w:szCs w:val="26"/>
          <w:lang w:val="es-MX"/>
        </w:rPr>
        <w:t xml:space="preserve">. </w:t>
      </w:r>
      <w:r w:rsidR="00AE265B" w:rsidRPr="00AC2F9A">
        <w:rPr>
          <w:rFonts w:ascii="Arial" w:hAnsi="Arial" w:cs="Arial"/>
          <w:b/>
          <w:szCs w:val="26"/>
          <w:lang w:val="es-MX"/>
        </w:rPr>
        <w:t xml:space="preserve">Estudio y análisis de fondo. </w:t>
      </w:r>
      <w:r w:rsidR="00AE265B" w:rsidRPr="00AC2F9A">
        <w:rPr>
          <w:rFonts w:ascii="Arial" w:hAnsi="Arial" w:cs="Arial"/>
          <w:szCs w:val="26"/>
          <w:lang w:val="es-MX"/>
        </w:rPr>
        <w:t>Esta Comisión procede, con fundamento en el artículo 144, fracción VI, de la Ley General de Transparencia y Acceso a la Información Pública, al estudio de la inconformidad planteada por el hoy recurrente, en la que esencialmente expresó que la autoridad</w:t>
      </w:r>
      <w:r w:rsidRPr="00AC2F9A">
        <w:rPr>
          <w:rFonts w:ascii="Arial" w:hAnsi="Arial" w:cs="Arial"/>
          <w:szCs w:val="26"/>
          <w:lang w:val="es-MX"/>
        </w:rPr>
        <w:t xml:space="preserve"> entregó la</w:t>
      </w:r>
      <w:r w:rsidR="00AE265B" w:rsidRPr="00AC2F9A">
        <w:rPr>
          <w:rFonts w:ascii="Arial" w:hAnsi="Arial" w:cs="Arial"/>
          <w:szCs w:val="26"/>
          <w:lang w:val="es-MX"/>
        </w:rPr>
        <w:t xml:space="preserve"> </w:t>
      </w:r>
      <w:r w:rsidRPr="00AC2F9A">
        <w:rPr>
          <w:rFonts w:ascii="Arial" w:hAnsi="Arial" w:cs="Arial"/>
          <w:szCs w:val="26"/>
        </w:rPr>
        <w:t>Información de manera incompleta, en un formato distinto al solicitado, carente de fundamentación y motivación y con una debida clasificación de los datos personales</w:t>
      </w:r>
      <w:r w:rsidR="00D80830">
        <w:rPr>
          <w:rFonts w:ascii="Arial" w:hAnsi="Arial" w:cs="Arial"/>
          <w:szCs w:val="26"/>
        </w:rPr>
        <w:t>.</w:t>
      </w:r>
    </w:p>
    <w:p w:rsidR="00BF120E" w:rsidRPr="004E033D" w:rsidRDefault="00BF120E" w:rsidP="00BF120E">
      <w:pPr>
        <w:pStyle w:val="Textoindependienteprimerasangra"/>
        <w:spacing w:before="240"/>
        <w:ind w:firstLine="900"/>
        <w:rPr>
          <w:rFonts w:ascii="Arial" w:hAnsi="Arial" w:cs="Arial"/>
          <w:color w:val="595959" w:themeColor="text1" w:themeTint="A6"/>
        </w:rPr>
      </w:pPr>
      <w:r w:rsidRPr="004E033D">
        <w:rPr>
          <w:rFonts w:ascii="Arial" w:hAnsi="Arial" w:cs="Arial"/>
          <w:color w:val="595959" w:themeColor="text1" w:themeTint="A6"/>
          <w:lang w:val="es-MX"/>
        </w:rPr>
        <w:t xml:space="preserve">Es necesario precisar que del análisis del escrito del recurso de revisión el recurrente, se advierte que no se inconforma del contenido </w:t>
      </w:r>
      <w:r w:rsidRPr="004E033D">
        <w:rPr>
          <w:rFonts w:ascii="Arial" w:hAnsi="Arial" w:cs="Arial"/>
          <w:color w:val="595959" w:themeColor="text1" w:themeTint="A6"/>
          <w:lang w:val="es-MX"/>
        </w:rPr>
        <w:t>de</w:t>
      </w:r>
      <w:r>
        <w:rPr>
          <w:rFonts w:ascii="Arial" w:hAnsi="Arial" w:cs="Arial"/>
          <w:color w:val="595959" w:themeColor="text1" w:themeTint="A6"/>
          <w:lang w:val="es-MX"/>
        </w:rPr>
        <w:t xml:space="preserve"> </w:t>
      </w:r>
      <w:r w:rsidRPr="004E033D">
        <w:rPr>
          <w:rFonts w:ascii="Arial" w:hAnsi="Arial" w:cs="Arial"/>
          <w:color w:val="595959" w:themeColor="text1" w:themeTint="A6"/>
          <w:lang w:val="es-MX"/>
        </w:rPr>
        <w:t>l</w:t>
      </w:r>
      <w:r>
        <w:rPr>
          <w:rFonts w:ascii="Arial" w:hAnsi="Arial" w:cs="Arial"/>
          <w:color w:val="595959" w:themeColor="text1" w:themeTint="A6"/>
          <w:lang w:val="es-MX"/>
        </w:rPr>
        <w:t>os</w:t>
      </w:r>
      <w:r w:rsidRPr="004E033D">
        <w:rPr>
          <w:rFonts w:ascii="Arial" w:hAnsi="Arial" w:cs="Arial"/>
          <w:color w:val="595959" w:themeColor="text1" w:themeTint="A6"/>
          <w:lang w:val="es-MX"/>
        </w:rPr>
        <w:t xml:space="preserve"> oficio</w:t>
      </w:r>
      <w:r>
        <w:rPr>
          <w:rFonts w:ascii="Arial" w:hAnsi="Arial" w:cs="Arial"/>
          <w:color w:val="595959" w:themeColor="text1" w:themeTint="A6"/>
          <w:lang w:val="es-MX"/>
        </w:rPr>
        <w:t>s</w:t>
      </w:r>
      <w:r w:rsidRPr="004E033D">
        <w:rPr>
          <w:rFonts w:ascii="Arial" w:hAnsi="Arial" w:cs="Arial"/>
          <w:color w:val="595959" w:themeColor="text1" w:themeTint="A6"/>
          <w:lang w:val="es-MX"/>
        </w:rPr>
        <w:t xml:space="preserve"> </w:t>
      </w:r>
      <w:r>
        <w:rPr>
          <w:rFonts w:ascii="Arial" w:hAnsi="Arial" w:cs="Arial"/>
          <w:color w:val="595959" w:themeColor="text1" w:themeTint="A6"/>
        </w:rPr>
        <w:t>DSA/1820/2017 y SP/475/2017, suscritos respectivamente por la directora de Servicios Administrativos del Sistema Educativo Estatal Regular t por el Coordinador General de Vinculación y Gestión Institucional</w:t>
      </w:r>
      <w:r w:rsidRPr="004E033D">
        <w:rPr>
          <w:rFonts w:ascii="Arial" w:hAnsi="Arial" w:cs="Arial"/>
          <w:color w:val="595959" w:themeColor="text1" w:themeTint="A6"/>
        </w:rPr>
        <w:t>.</w:t>
      </w:r>
    </w:p>
    <w:p w:rsidR="00BF120E" w:rsidRPr="004E033D" w:rsidRDefault="00BF120E" w:rsidP="00BF120E">
      <w:pPr>
        <w:pStyle w:val="Textoindependienteprimerasangra"/>
        <w:spacing w:before="240"/>
        <w:ind w:firstLine="900"/>
        <w:rPr>
          <w:rFonts w:ascii="Arial" w:hAnsi="Arial" w:cs="Arial"/>
          <w:color w:val="595959" w:themeColor="text1" w:themeTint="A6"/>
          <w:lang w:val="es-MX"/>
        </w:rPr>
      </w:pPr>
      <w:r w:rsidRPr="004E033D">
        <w:rPr>
          <w:rFonts w:ascii="Arial" w:hAnsi="Arial" w:cs="Arial"/>
          <w:color w:val="595959" w:themeColor="text1" w:themeTint="A6"/>
          <w:lang w:val="es-MX"/>
        </w:rPr>
        <w:t>Es necesario señalar que el inconforme no se duele del contenido de</w:t>
      </w:r>
      <w:r>
        <w:rPr>
          <w:rFonts w:ascii="Arial" w:hAnsi="Arial" w:cs="Arial"/>
          <w:color w:val="595959" w:themeColor="text1" w:themeTint="A6"/>
          <w:lang w:val="es-MX"/>
        </w:rPr>
        <w:t xml:space="preserve"> </w:t>
      </w:r>
      <w:r w:rsidRPr="004E033D">
        <w:rPr>
          <w:rFonts w:ascii="Arial" w:hAnsi="Arial" w:cs="Arial"/>
          <w:color w:val="595959" w:themeColor="text1" w:themeTint="A6"/>
          <w:lang w:val="es-MX"/>
        </w:rPr>
        <w:t>l</w:t>
      </w:r>
      <w:r>
        <w:rPr>
          <w:rFonts w:ascii="Arial" w:hAnsi="Arial" w:cs="Arial"/>
          <w:color w:val="595959" w:themeColor="text1" w:themeTint="A6"/>
          <w:lang w:val="es-MX"/>
        </w:rPr>
        <w:t>os</w:t>
      </w:r>
      <w:r w:rsidRPr="004E033D">
        <w:rPr>
          <w:rFonts w:ascii="Arial" w:hAnsi="Arial" w:cs="Arial"/>
          <w:color w:val="595959" w:themeColor="text1" w:themeTint="A6"/>
          <w:lang w:val="es-MX"/>
        </w:rPr>
        <w:t xml:space="preserve"> oficio</w:t>
      </w:r>
      <w:r>
        <w:rPr>
          <w:rFonts w:ascii="Arial" w:hAnsi="Arial" w:cs="Arial"/>
          <w:color w:val="595959" w:themeColor="text1" w:themeTint="A6"/>
          <w:lang w:val="es-MX"/>
        </w:rPr>
        <w:t>s</w:t>
      </w:r>
      <w:r w:rsidRPr="004E033D">
        <w:rPr>
          <w:rFonts w:ascii="Arial" w:hAnsi="Arial" w:cs="Arial"/>
          <w:color w:val="595959" w:themeColor="text1" w:themeTint="A6"/>
          <w:lang w:val="es-MX"/>
        </w:rPr>
        <w:t xml:space="preserve"> en mención, ya que el área administrativa puso a disposición la información a que se refiere</w:t>
      </w:r>
      <w:r>
        <w:rPr>
          <w:rFonts w:ascii="Arial" w:hAnsi="Arial" w:cs="Arial"/>
          <w:color w:val="595959" w:themeColor="text1" w:themeTint="A6"/>
          <w:lang w:val="es-MX"/>
        </w:rPr>
        <w:t xml:space="preserve">n </w:t>
      </w:r>
      <w:proofErr w:type="gramStart"/>
      <w:r>
        <w:rPr>
          <w:rFonts w:ascii="Arial" w:hAnsi="Arial" w:cs="Arial"/>
          <w:color w:val="595959" w:themeColor="text1" w:themeTint="A6"/>
          <w:lang w:val="es-MX"/>
        </w:rPr>
        <w:t>los</w:t>
      </w:r>
      <w:r w:rsidRPr="004E033D">
        <w:rPr>
          <w:rFonts w:ascii="Arial" w:hAnsi="Arial" w:cs="Arial"/>
          <w:color w:val="595959" w:themeColor="text1" w:themeTint="A6"/>
          <w:lang w:val="es-MX"/>
        </w:rPr>
        <w:t xml:space="preserve"> punto</w:t>
      </w:r>
      <w:proofErr w:type="gramEnd"/>
      <w:r w:rsidRPr="004E033D">
        <w:rPr>
          <w:rFonts w:ascii="Arial" w:hAnsi="Arial" w:cs="Arial"/>
          <w:color w:val="595959" w:themeColor="text1" w:themeTint="A6"/>
          <w:lang w:val="es-MX"/>
        </w:rPr>
        <w:t xml:space="preserve"> de la solicitud de información que atendió y el particular señaló, por una parte, que se mostraba conforme </w:t>
      </w:r>
      <w:r w:rsidRPr="004E033D">
        <w:rPr>
          <w:rFonts w:ascii="Arial" w:hAnsi="Arial" w:cs="Arial"/>
          <w:color w:val="595959" w:themeColor="text1" w:themeTint="A6"/>
          <w:lang w:val="es-MX"/>
        </w:rPr>
        <w:lastRenderedPageBreak/>
        <w:t xml:space="preserve">con la respuesta por </w:t>
      </w:r>
      <w:r w:rsidRPr="004E033D">
        <w:rPr>
          <w:rFonts w:ascii="Arial" w:hAnsi="Arial" w:cs="Arial"/>
          <w:color w:val="595959" w:themeColor="text1" w:themeTint="A6"/>
          <w:lang w:val="es-MX"/>
        </w:rPr>
        <w:t>corresponder</w:t>
      </w:r>
      <w:r w:rsidRPr="004E033D">
        <w:rPr>
          <w:rFonts w:ascii="Arial" w:hAnsi="Arial" w:cs="Arial"/>
          <w:color w:val="595959" w:themeColor="text1" w:themeTint="A6"/>
          <w:lang w:val="es-MX"/>
        </w:rPr>
        <w:t xml:space="preserve"> a aquello que requirió</w:t>
      </w:r>
      <w:r>
        <w:rPr>
          <w:rFonts w:ascii="Arial" w:hAnsi="Arial" w:cs="Arial"/>
          <w:color w:val="595959" w:themeColor="text1" w:themeTint="A6"/>
          <w:lang w:val="es-MX"/>
        </w:rPr>
        <w:t xml:space="preserve"> y, por la otra, no se inconformó del contenido de aquello que se le entregó.</w:t>
      </w:r>
    </w:p>
    <w:p w:rsidR="00BF120E" w:rsidRPr="004E033D" w:rsidRDefault="00BF120E" w:rsidP="00BF120E">
      <w:pPr>
        <w:pStyle w:val="Textoindependienteprimerasangra"/>
        <w:spacing w:before="240"/>
        <w:ind w:firstLine="900"/>
        <w:rPr>
          <w:rFonts w:ascii="Arial" w:hAnsi="Arial" w:cs="Arial"/>
          <w:color w:val="595959" w:themeColor="text1" w:themeTint="A6"/>
          <w:lang w:val="es-MX"/>
        </w:rPr>
      </w:pPr>
      <w:r w:rsidRPr="004E033D">
        <w:rPr>
          <w:rFonts w:ascii="Arial" w:hAnsi="Arial" w:cs="Arial"/>
          <w:color w:val="595959" w:themeColor="text1" w:themeTint="A6"/>
          <w:lang w:val="es-MX"/>
        </w:rPr>
        <w:t>Para reforzar lo dicho, resulta pertinente invocar el criterio emitido por la que fue Sala Auxiliar de la Suprema Corte de Justicia de la Nación, que establece:</w:t>
      </w:r>
    </w:p>
    <w:p w:rsidR="00BF120E" w:rsidRPr="004E033D" w:rsidRDefault="00BF120E" w:rsidP="00BF120E">
      <w:pPr>
        <w:pStyle w:val="Textoindependienteprimerasangra"/>
        <w:spacing w:before="240" w:line="240" w:lineRule="auto"/>
        <w:ind w:firstLine="900"/>
        <w:rPr>
          <w:rFonts w:ascii="Arial" w:hAnsi="Arial" w:cs="Arial"/>
          <w:color w:val="595959" w:themeColor="text1" w:themeTint="A6"/>
          <w:sz w:val="22"/>
          <w:szCs w:val="22"/>
          <w:lang w:val="es-MX"/>
        </w:rPr>
      </w:pPr>
      <w:r w:rsidRPr="004E033D">
        <w:rPr>
          <w:rFonts w:ascii="Arial" w:hAnsi="Arial" w:cs="Arial"/>
          <w:b/>
          <w:i/>
          <w:color w:val="595959" w:themeColor="text1" w:themeTint="A6"/>
          <w:sz w:val="22"/>
          <w:szCs w:val="22"/>
        </w:rPr>
        <w:tab/>
        <w:t xml:space="preserve">“ACTOS CONSENTIDOS, NATURALEZA DEL CONSENTIMIENTO EN </w:t>
      </w:r>
      <w:r w:rsidRPr="004E033D">
        <w:rPr>
          <w:rFonts w:ascii="Arial" w:hAnsi="Arial" w:cs="Arial"/>
          <w:b/>
          <w:i/>
          <w:color w:val="595959" w:themeColor="text1" w:themeTint="A6"/>
          <w:sz w:val="22"/>
          <w:szCs w:val="22"/>
        </w:rPr>
        <w:tab/>
        <w:t>LOS.</w:t>
      </w:r>
    </w:p>
    <w:p w:rsidR="00BF120E" w:rsidRPr="004E033D" w:rsidRDefault="00BF120E" w:rsidP="00BF120E">
      <w:pPr>
        <w:pStyle w:val="Textoindependienteprimerasangra"/>
        <w:spacing w:before="240" w:line="240" w:lineRule="auto"/>
        <w:ind w:left="851" w:firstLine="567"/>
        <w:rPr>
          <w:rFonts w:ascii="Arial" w:hAnsi="Arial" w:cs="Arial"/>
          <w:color w:val="595959" w:themeColor="text1" w:themeTint="A6"/>
          <w:sz w:val="22"/>
          <w:szCs w:val="22"/>
          <w:lang w:val="es-MX"/>
        </w:rPr>
      </w:pPr>
      <w:r w:rsidRPr="004E033D">
        <w:rPr>
          <w:rFonts w:ascii="Arial" w:hAnsi="Arial" w:cs="Arial"/>
          <w:i/>
          <w:color w:val="595959" w:themeColor="text1" w:themeTint="A6"/>
          <w:sz w:val="22"/>
          <w:szCs w:val="22"/>
        </w:rPr>
        <w:t xml:space="preserve">No es cierto que el concepto de consentimiento definido por el artículo 1803 del Código Civil Federal, sea el que pueda servir para determinar </w:t>
      </w:r>
      <w:proofErr w:type="spellStart"/>
      <w:r w:rsidRPr="004E033D">
        <w:rPr>
          <w:rFonts w:ascii="Arial" w:hAnsi="Arial" w:cs="Arial"/>
          <w:i/>
          <w:color w:val="595959" w:themeColor="text1" w:themeTint="A6"/>
          <w:sz w:val="22"/>
          <w:szCs w:val="22"/>
        </w:rPr>
        <w:t>cuando</w:t>
      </w:r>
      <w:proofErr w:type="spellEnd"/>
      <w:r w:rsidRPr="004E033D">
        <w:rPr>
          <w:rFonts w:ascii="Arial" w:hAnsi="Arial" w:cs="Arial"/>
          <w:i/>
          <w:color w:val="595959" w:themeColor="text1" w:themeTint="A6"/>
          <w:sz w:val="22"/>
          <w:szCs w:val="22"/>
        </w:rPr>
        <w:t xml:space="preserve"> un acto ha sido consentido expresa o tácitamente, para fines del sobreseimiento, así se esté ante un criterio comparativo por algún autor sobre la materia. Y no debe ni puede privar ese concepto civilista, porque además de que en él campea un sentido que rige para el derecho privado, tan ajeno a la teoría del amparo, hay en la especie norma expresa al respecto en la ley reglamentaria del juicio de garantías, que hace inaplicables criterios ajenos o diversos al contenido directamente en la ley que debe regular y determinar la noción del consentimiento en cuanto a la improcedencia de la acción constitucional de amparo (artículo 73, fracciones XI y XII). La improcedencia del amparo es una cuestión que no fue acogida, en sus albores, por las leyes reglamentarias del juicio constitucional. No la consagra, para nada, la ley del 30 de noviembre de 1861, primigenia, en un orden cronológico, como tampoco contiene causales de improcedencia la Ley Orgánica Constitucional del 20 de enero de 1869 que sí menciona el sobreseimiento del amparo, aunque como causa de responsabilidad. En cambio, la Ley Orgánica de los Artículos 101 y 102 de la Constitución Federal de 1857, datada el 14 de diciembre de 1882, sí trata la materia del sobreseimiento en su artículo 35, al prescribir en la fracción VI del mismo artículo 35, que se sobreseerá el amparo, cualquiera que sea el estado del juicio, cuando el acto hubiere sido consentido y no versare sobre materia criminal. No define, esa ley de 1882, en qué estriba ese consentimiento y otro tanto harán los artículos 702 y 779 del Código de Procedimientos Federales del 6 de octubre de 1897 y del Código Federal de Procedimientos Civiles del 26 de diciembre de 1908 que se concretan, al través de su fracción V, a consignar que el juicio de amparo es improcedente contra actos consentidos, siempre que éstos no importen una pena corporal o algún acto de los prohibidos por el artículo 22 de aquella Constitución de 1857. La doctrina del acto consentido es elaborada por la ley del señor presidente Carranza, la del 18 de octubre de 1919, que sí contempla la improcedencia del amparo en ese aspecto y, por ende, define qué se entiende por consentido un acto contra el que no se haya interpuesto amparo dentro de los quince días siguientes al en que se haya hecho saber al interesado, a no ser que la ley conceda expresamente término mayor para hacerlo valer (artículo 43, fracción V). La ley del señor presidente Cárdenas, esto es, la promulgada el 30 de diciembre de 1935, complementa esta doctrina cuando en las fracciones XI y XII de su artículo 73 desenvuelve, cabalmente, la teoría de la improcedencia del juicio constitucional, en punto a actos consentidos expresamente o por manifestaciones de voluntad que entrañen ese consentimiento (artículo 73, fracción XI), habiendo consentimiento tácito, si el juicio de garantías no se promueve dentro de los términos señalados por los artículos 21 y 22 de la ley en cuestión (artículo 73, fracción XII). La integración de esta doctrina del consentimiento de los actos reclamados, en el juicio de garantías, conduce a formular estas nítidas proposiciones: 1) Hay consentimiento expreso del acto </w:t>
      </w:r>
      <w:r w:rsidRPr="004E033D">
        <w:rPr>
          <w:rFonts w:ascii="Arial" w:hAnsi="Arial" w:cs="Arial"/>
          <w:i/>
          <w:color w:val="595959" w:themeColor="text1" w:themeTint="A6"/>
          <w:sz w:val="22"/>
          <w:szCs w:val="22"/>
        </w:rPr>
        <w:lastRenderedPageBreak/>
        <w:t>reclamado, cuando directamente se exterioriza que se está de acuerdo o conforme con dicho acto; 2) Hay consentimiento expreso, también, del acto reclamado, cuando media una manifestación de voluntad que entrañe ese consentimiento; y 3) Hay consentimiento tácito del acto reclamado cuando el juicio de amparo deja de promoverse dentro de los términos que señalan los artículos 21 y 22 de su ley reglamentaria”.</w:t>
      </w:r>
    </w:p>
    <w:p w:rsidR="00BF120E" w:rsidRPr="004E033D" w:rsidRDefault="00BF120E" w:rsidP="00BF120E">
      <w:pPr>
        <w:spacing w:before="240"/>
        <w:rPr>
          <w:rFonts w:ascii="Arial" w:hAnsi="Arial" w:cs="Arial"/>
          <w:color w:val="595959" w:themeColor="text1" w:themeTint="A6"/>
          <w:lang w:val="es-MX"/>
        </w:rPr>
      </w:pPr>
      <w:r w:rsidRPr="004E033D">
        <w:rPr>
          <w:rFonts w:ascii="Arial" w:hAnsi="Arial" w:cs="Arial"/>
          <w:color w:val="595959" w:themeColor="text1" w:themeTint="A6"/>
        </w:rPr>
        <w:tab/>
        <w:t>Esta Comisión se adhiere al criterio señalado, toda vez que en el caso concreto se actualiza la tercera de las proposiciones señalada por el cuerpo de la tesis, ya que existe un consentimiento expreso de la respuesta contenida en los oficios que nos ocupa</w:t>
      </w:r>
      <w:r w:rsidRPr="004E033D">
        <w:rPr>
          <w:rFonts w:ascii="Arial" w:hAnsi="Arial" w:cs="Arial"/>
          <w:iCs/>
          <w:color w:val="595959" w:themeColor="text1" w:themeTint="A6"/>
          <w:lang w:val="es-MX"/>
        </w:rPr>
        <w:t>, en los que se atendieron los puntos de la solicitud que contestó el Titular de la Unidad de Transparencia del Sistema Educativo Estatal Regular</w:t>
      </w:r>
      <w:r w:rsidRPr="004E033D">
        <w:rPr>
          <w:rFonts w:ascii="Arial" w:hAnsi="Arial" w:cs="Arial"/>
          <w:color w:val="595959" w:themeColor="text1" w:themeTint="A6"/>
          <w:lang w:val="es-MX"/>
        </w:rPr>
        <w:t>.</w:t>
      </w:r>
    </w:p>
    <w:p w:rsidR="00BF120E" w:rsidRPr="004E033D" w:rsidRDefault="00BF120E" w:rsidP="00BF120E">
      <w:pPr>
        <w:spacing w:before="240"/>
        <w:rPr>
          <w:rFonts w:ascii="Arial" w:hAnsi="Arial" w:cs="Arial"/>
          <w:color w:val="595959" w:themeColor="text1" w:themeTint="A6"/>
          <w:lang w:val="es-MX"/>
        </w:rPr>
      </w:pPr>
      <w:r w:rsidRPr="004E033D">
        <w:rPr>
          <w:rFonts w:ascii="Arial" w:hAnsi="Arial" w:cs="Arial"/>
          <w:color w:val="595959" w:themeColor="text1" w:themeTint="A6"/>
          <w:lang w:val="es-MX"/>
        </w:rPr>
        <w:tab/>
        <w:t xml:space="preserve">La manifestación de conformidad que realizó el </w:t>
      </w:r>
      <w:r w:rsidRPr="004E033D">
        <w:rPr>
          <w:rFonts w:ascii="Arial" w:hAnsi="Arial" w:cs="Arial"/>
          <w:color w:val="595959" w:themeColor="text1" w:themeTint="A6"/>
          <w:lang w:val="es-MX"/>
        </w:rPr>
        <w:t>particular</w:t>
      </w:r>
      <w:r w:rsidRPr="004E033D">
        <w:rPr>
          <w:rFonts w:ascii="Arial" w:hAnsi="Arial" w:cs="Arial"/>
          <w:color w:val="595959" w:themeColor="text1" w:themeTint="A6"/>
          <w:lang w:val="es-MX"/>
        </w:rPr>
        <w:t xml:space="preserve"> representa que se le puso a disposición la información que solicitó, por conducto del área administrativa que posee la documentación que corresponde a su petición; por lo tanto, de conformidad con el artículo 151 de la Ley de Transparencia y Acceso a la Información Pública, el recurrente vio satisfecha su petición, en lo concerniente al punto que fue atendido por el área administrativa que nos ocupa.</w:t>
      </w:r>
    </w:p>
    <w:p w:rsidR="00AE265B" w:rsidRPr="00BF120E" w:rsidRDefault="00B815B9" w:rsidP="00BF120E">
      <w:pPr>
        <w:pStyle w:val="Textoindependienteprimerasangra"/>
        <w:spacing w:before="240"/>
        <w:ind w:firstLine="708"/>
        <w:rPr>
          <w:rFonts w:ascii="Arial" w:hAnsi="Arial" w:cs="Arial"/>
          <w:szCs w:val="26"/>
        </w:rPr>
      </w:pPr>
      <w:r w:rsidRPr="005E1FFF">
        <w:rPr>
          <w:rFonts w:ascii="Arial" w:hAnsi="Arial" w:cs="Arial"/>
          <w:szCs w:val="26"/>
          <w:lang w:val="es-MX" w:eastAsia="es-MX"/>
        </w:rPr>
        <w:t>Por lo anteriormente expuesto y fundado se:</w:t>
      </w:r>
    </w:p>
    <w:p w:rsidR="00F85D7B" w:rsidRPr="005E1FFF" w:rsidRDefault="00F85D7B" w:rsidP="00F85D7B">
      <w:pPr>
        <w:shd w:val="clear" w:color="auto" w:fill="FFFFFF"/>
        <w:jc w:val="center"/>
        <w:outlineLvl w:val="0"/>
        <w:rPr>
          <w:rFonts w:ascii="Arial" w:hAnsi="Arial" w:cs="Arial"/>
          <w:b/>
          <w:bCs/>
          <w:szCs w:val="26"/>
          <w:lang w:val="es-MX" w:eastAsia="es-MX"/>
        </w:rPr>
      </w:pPr>
      <w:r w:rsidRPr="005E1FFF">
        <w:rPr>
          <w:rFonts w:ascii="Arial" w:hAnsi="Arial" w:cs="Arial"/>
          <w:b/>
          <w:bCs/>
          <w:szCs w:val="26"/>
          <w:lang w:val="es-MX" w:eastAsia="es-MX"/>
        </w:rPr>
        <w:t>R E S U E L V E:</w:t>
      </w:r>
    </w:p>
    <w:p w:rsidR="00BF120E" w:rsidRPr="00BF120E" w:rsidRDefault="00F85D7B" w:rsidP="000967F2">
      <w:pPr>
        <w:spacing w:before="240" w:after="240"/>
        <w:rPr>
          <w:rFonts w:ascii="Arial" w:hAnsi="Arial" w:cs="Arial"/>
        </w:rPr>
      </w:pPr>
      <w:r w:rsidRPr="005E1FFF">
        <w:rPr>
          <w:rFonts w:ascii="Arial" w:hAnsi="Arial" w:cs="Arial"/>
          <w:b/>
        </w:rPr>
        <w:tab/>
      </w:r>
      <w:r w:rsidR="00BF120E">
        <w:rPr>
          <w:rFonts w:ascii="Arial" w:hAnsi="Arial" w:cs="Arial"/>
          <w:b/>
        </w:rPr>
        <w:t xml:space="preserve">PRIMERO. </w:t>
      </w:r>
      <w:r w:rsidR="00BF120E">
        <w:rPr>
          <w:rFonts w:ascii="Arial" w:hAnsi="Arial" w:cs="Arial"/>
        </w:rPr>
        <w:t xml:space="preserve">Se </w:t>
      </w:r>
      <w:r w:rsidR="00BF120E" w:rsidRPr="00BF120E">
        <w:rPr>
          <w:rFonts w:ascii="Arial" w:hAnsi="Arial" w:cs="Arial"/>
          <w:b/>
        </w:rPr>
        <w:t>sobresee</w:t>
      </w:r>
      <w:r w:rsidR="00BF120E">
        <w:rPr>
          <w:rFonts w:ascii="Arial" w:hAnsi="Arial" w:cs="Arial"/>
        </w:rPr>
        <w:t>, de manera parcial, el presente medio de impugnación, por las razones expuestas en el considerando tercero de la presente resolución.</w:t>
      </w:r>
    </w:p>
    <w:p w:rsidR="000967F2" w:rsidRPr="005E1FFF" w:rsidRDefault="00BF120E" w:rsidP="00BF120E">
      <w:pPr>
        <w:spacing w:before="240" w:after="240"/>
        <w:ind w:firstLine="708"/>
        <w:rPr>
          <w:rFonts w:ascii="Arial" w:hAnsi="Arial" w:cs="Arial"/>
        </w:rPr>
      </w:pPr>
      <w:r>
        <w:rPr>
          <w:rFonts w:ascii="Arial" w:hAnsi="Arial" w:cs="Arial"/>
          <w:b/>
        </w:rPr>
        <w:t>SEGUNDO</w:t>
      </w:r>
      <w:r w:rsidR="000967F2" w:rsidRPr="005E1FFF">
        <w:rPr>
          <w:rFonts w:ascii="Arial" w:hAnsi="Arial" w:cs="Arial"/>
          <w:b/>
        </w:rPr>
        <w:t xml:space="preserve">. </w:t>
      </w:r>
      <w:r w:rsidR="000967F2" w:rsidRPr="005E1FFF">
        <w:rPr>
          <w:rFonts w:ascii="Arial" w:hAnsi="Arial" w:cs="Arial"/>
        </w:rPr>
        <w:t xml:space="preserve">Se </w:t>
      </w:r>
      <w:r>
        <w:rPr>
          <w:rFonts w:ascii="Arial" w:hAnsi="Arial" w:cs="Arial"/>
          <w:b/>
        </w:rPr>
        <w:t>confirma</w:t>
      </w:r>
      <w:r w:rsidR="000967F2" w:rsidRPr="005E1FFF">
        <w:rPr>
          <w:rFonts w:ascii="Arial" w:hAnsi="Arial" w:cs="Arial"/>
        </w:rPr>
        <w:t xml:space="preserve"> </w:t>
      </w:r>
      <w:r w:rsidR="00F012A1" w:rsidRPr="005E1FFF">
        <w:rPr>
          <w:rFonts w:ascii="Arial" w:hAnsi="Arial" w:cs="Arial"/>
        </w:rPr>
        <w:t>la respuesta emitida por el sujeto obligado por las razones expuestas en el considerando tercero de la presente resolución.</w:t>
      </w:r>
    </w:p>
    <w:p w:rsidR="00F85D7B" w:rsidRPr="005E1FFF" w:rsidRDefault="00F85D7B" w:rsidP="00F85D7B">
      <w:pPr>
        <w:spacing w:before="240" w:after="240"/>
        <w:rPr>
          <w:rFonts w:ascii="Arial" w:hAnsi="Arial" w:cs="Arial"/>
        </w:rPr>
      </w:pPr>
      <w:r w:rsidRPr="005E1FFF">
        <w:rPr>
          <w:rFonts w:ascii="Arial" w:hAnsi="Arial" w:cs="Arial"/>
        </w:rPr>
        <w:tab/>
        <w:t>Notifíquese personalmente a las partes el contenido de la presente resolución, de conformidad con el artículo 177 de la Ley de Transparencia y Acceso a la Información Pública del Estado.</w:t>
      </w:r>
    </w:p>
    <w:p w:rsidR="00F85D7B" w:rsidRPr="005E1FFF" w:rsidRDefault="00F85D7B" w:rsidP="00F85D7B">
      <w:pPr>
        <w:spacing w:before="240" w:after="240"/>
        <w:rPr>
          <w:rFonts w:ascii="Arial" w:hAnsi="Arial" w:cs="Arial"/>
        </w:rPr>
      </w:pPr>
      <w:r w:rsidRPr="005E1FFF">
        <w:rPr>
          <w:rFonts w:ascii="Arial" w:hAnsi="Arial" w:cs="Arial"/>
        </w:rPr>
        <w:lastRenderedPageBreak/>
        <w:tab/>
        <w:t>La notificación que se realice al sujeto obligado será, con fundamento en el artículo 58 de la Ley de Transparencia y Acceso a la Información Pública del Estado, a través de la Unidad de Transparencia.</w:t>
      </w:r>
    </w:p>
    <w:p w:rsidR="00F85D7B" w:rsidRPr="005E1FFF" w:rsidRDefault="00F85D7B" w:rsidP="00F85D7B">
      <w:pPr>
        <w:spacing w:before="240" w:after="240"/>
        <w:rPr>
          <w:rFonts w:ascii="Arial" w:hAnsi="Arial" w:cs="Arial"/>
        </w:rPr>
      </w:pPr>
      <w:r w:rsidRPr="005E1FFF">
        <w:rPr>
          <w:rFonts w:ascii="Arial" w:hAnsi="Arial" w:cs="Arial"/>
        </w:rPr>
        <w:tab/>
        <w:t>Se hace de conocimiento del recurrente que, en caso de no estar de acuerdo con los términos de la resolución dictada, podrá impugnar la presente resolución a través del Juicio de Amparo indirecto que promueva ante el Poder Judicial de la Federación. Lo anterior con fundamento en el artículo 159 de la Ley General de Transparencia y Acceso a la Información Pública.</w:t>
      </w:r>
    </w:p>
    <w:p w:rsidR="00F85D7B" w:rsidRPr="005E1FFF" w:rsidRDefault="00F85D7B" w:rsidP="00F85D7B">
      <w:pPr>
        <w:spacing w:before="240" w:after="240"/>
        <w:rPr>
          <w:rFonts w:ascii="Arial" w:hAnsi="Arial" w:cs="Arial"/>
        </w:rPr>
      </w:pPr>
      <w:r w:rsidRPr="005E1FFF">
        <w:rPr>
          <w:rFonts w:ascii="Arial" w:hAnsi="Arial" w:cs="Arial"/>
        </w:rPr>
        <w:tab/>
        <w:t xml:space="preserve">Así lo resuelve, por unanimidad de votos, el pleno de la Comisión Estatal de Garantía de Acceso a la Información Pública, conformado por los Comisionados  Alejando Lafuente Torres, Paulina Sánchez Pérez del Pozo y Claudia Elizabeth Ávalos Cedillo, en la sesión </w:t>
      </w:r>
      <w:r w:rsidR="004A0B15" w:rsidRPr="005E1FFF">
        <w:rPr>
          <w:rFonts w:ascii="Arial" w:hAnsi="Arial" w:cs="Arial"/>
        </w:rPr>
        <w:t>extraordinaria</w:t>
      </w:r>
      <w:r w:rsidRPr="005E1FFF">
        <w:rPr>
          <w:rFonts w:ascii="Arial" w:hAnsi="Arial" w:cs="Arial"/>
        </w:rPr>
        <w:t xml:space="preserve"> del </w:t>
      </w:r>
      <w:r w:rsidR="00325B22">
        <w:rPr>
          <w:rFonts w:ascii="Arial" w:hAnsi="Arial" w:cs="Arial"/>
        </w:rPr>
        <w:t>veintiocho de febrero</w:t>
      </w:r>
      <w:r w:rsidR="005E1FFF">
        <w:rPr>
          <w:rFonts w:ascii="Arial" w:hAnsi="Arial" w:cs="Arial"/>
        </w:rPr>
        <w:t xml:space="preserve"> de dos mil dieciocho</w:t>
      </w:r>
      <w:r w:rsidRPr="005E1FFF">
        <w:rPr>
          <w:rFonts w:ascii="Arial" w:hAnsi="Arial" w:cs="Arial"/>
        </w:rPr>
        <w:t>,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4678"/>
      </w:tblGrid>
      <w:tr w:rsidR="00F85D7B" w:rsidRPr="005E1FFF" w:rsidTr="005001E9">
        <w:tc>
          <w:tcPr>
            <w:tcW w:w="4219" w:type="dxa"/>
          </w:tcPr>
          <w:p w:rsidR="00F85D7B" w:rsidRPr="005E1FFF" w:rsidRDefault="00F85D7B" w:rsidP="000E3570">
            <w:pPr>
              <w:spacing w:after="240"/>
              <w:jc w:val="center"/>
              <w:rPr>
                <w:rFonts w:ascii="Arial" w:hAnsi="Arial" w:cs="Arial"/>
                <w:b/>
                <w:sz w:val="24"/>
                <w:szCs w:val="26"/>
              </w:rPr>
            </w:pPr>
            <w:r w:rsidRPr="005E1FFF">
              <w:rPr>
                <w:rFonts w:ascii="Arial" w:hAnsi="Arial" w:cs="Arial"/>
                <w:b/>
                <w:sz w:val="24"/>
                <w:szCs w:val="26"/>
              </w:rPr>
              <w:t>COMISIONADO PRESIDENTE</w:t>
            </w:r>
          </w:p>
          <w:p w:rsidR="00F85D7B" w:rsidRPr="005E1FFF" w:rsidRDefault="00F85D7B" w:rsidP="000E3570">
            <w:pPr>
              <w:spacing w:before="240" w:after="240"/>
              <w:jc w:val="center"/>
              <w:rPr>
                <w:rFonts w:ascii="Arial" w:hAnsi="Arial" w:cs="Arial"/>
                <w:b/>
                <w:sz w:val="24"/>
                <w:szCs w:val="26"/>
              </w:rPr>
            </w:pPr>
          </w:p>
          <w:p w:rsidR="00F85D7B" w:rsidRPr="005E1FFF" w:rsidRDefault="00F85D7B" w:rsidP="000E3570">
            <w:pPr>
              <w:spacing w:before="240" w:after="240"/>
              <w:jc w:val="center"/>
              <w:rPr>
                <w:rFonts w:ascii="Arial" w:hAnsi="Arial" w:cs="Arial"/>
              </w:rPr>
            </w:pPr>
            <w:r w:rsidRPr="005E1FFF">
              <w:rPr>
                <w:rFonts w:ascii="Arial" w:hAnsi="Arial" w:cs="Arial"/>
                <w:b/>
                <w:sz w:val="24"/>
                <w:szCs w:val="26"/>
              </w:rPr>
              <w:t>ALEJANDRO LAFUENTE TORRES</w:t>
            </w:r>
          </w:p>
        </w:tc>
        <w:tc>
          <w:tcPr>
            <w:tcW w:w="4678" w:type="dxa"/>
          </w:tcPr>
          <w:p w:rsidR="00F85D7B" w:rsidRPr="005E1FFF" w:rsidRDefault="00F85D7B" w:rsidP="000E3570">
            <w:pPr>
              <w:spacing w:after="240"/>
              <w:ind w:left="48"/>
              <w:jc w:val="center"/>
              <w:rPr>
                <w:rFonts w:ascii="Arial" w:hAnsi="Arial" w:cs="Arial"/>
                <w:b/>
                <w:sz w:val="24"/>
                <w:szCs w:val="26"/>
              </w:rPr>
            </w:pPr>
            <w:r w:rsidRPr="005E1FFF">
              <w:rPr>
                <w:rFonts w:ascii="Arial" w:hAnsi="Arial" w:cs="Arial"/>
                <w:b/>
                <w:sz w:val="24"/>
                <w:szCs w:val="26"/>
              </w:rPr>
              <w:t>COMISIONADA</w:t>
            </w:r>
          </w:p>
          <w:p w:rsidR="00F85D7B" w:rsidRPr="005E1FFF" w:rsidRDefault="00F85D7B" w:rsidP="000E3570">
            <w:pPr>
              <w:spacing w:before="240" w:after="240"/>
              <w:jc w:val="center"/>
              <w:rPr>
                <w:rFonts w:ascii="Arial" w:hAnsi="Arial" w:cs="Arial"/>
                <w:b/>
                <w:sz w:val="24"/>
                <w:szCs w:val="26"/>
              </w:rPr>
            </w:pPr>
          </w:p>
          <w:p w:rsidR="00F85D7B" w:rsidRPr="005E1FFF" w:rsidRDefault="00F85D7B" w:rsidP="000E3570">
            <w:pPr>
              <w:spacing w:before="240" w:after="240"/>
              <w:jc w:val="center"/>
              <w:rPr>
                <w:rFonts w:ascii="Arial" w:hAnsi="Arial" w:cs="Arial"/>
                <w:b/>
                <w:sz w:val="24"/>
                <w:szCs w:val="26"/>
              </w:rPr>
            </w:pPr>
            <w:r w:rsidRPr="005E1FFF">
              <w:rPr>
                <w:rFonts w:ascii="Arial" w:hAnsi="Arial" w:cs="Arial"/>
                <w:b/>
                <w:sz w:val="24"/>
                <w:szCs w:val="26"/>
              </w:rPr>
              <w:t>PAULINA SÁNCHEZ PÉREZ DEL POZO</w:t>
            </w:r>
          </w:p>
          <w:p w:rsidR="00F85D7B" w:rsidRPr="005E1FFF" w:rsidRDefault="00F85D7B" w:rsidP="000E3570">
            <w:pPr>
              <w:spacing w:before="240" w:after="240"/>
              <w:jc w:val="center"/>
              <w:rPr>
                <w:rFonts w:ascii="Arial" w:hAnsi="Arial" w:cs="Arial"/>
              </w:rPr>
            </w:pPr>
          </w:p>
        </w:tc>
      </w:tr>
      <w:tr w:rsidR="00F85D7B" w:rsidRPr="005E1FFF" w:rsidTr="005001E9">
        <w:trPr>
          <w:trHeight w:val="2075"/>
        </w:trPr>
        <w:tc>
          <w:tcPr>
            <w:tcW w:w="4219" w:type="dxa"/>
          </w:tcPr>
          <w:p w:rsidR="00F85D7B" w:rsidRPr="005E1FFF" w:rsidRDefault="00F85D7B" w:rsidP="000E3570">
            <w:pPr>
              <w:spacing w:after="240" w:line="276" w:lineRule="auto"/>
              <w:jc w:val="center"/>
              <w:rPr>
                <w:rFonts w:ascii="Arial" w:hAnsi="Arial" w:cs="Arial"/>
                <w:b/>
                <w:sz w:val="24"/>
                <w:szCs w:val="26"/>
              </w:rPr>
            </w:pPr>
            <w:r w:rsidRPr="005E1FFF">
              <w:rPr>
                <w:rFonts w:ascii="Arial" w:hAnsi="Arial" w:cs="Arial"/>
                <w:b/>
                <w:sz w:val="24"/>
                <w:szCs w:val="26"/>
              </w:rPr>
              <w:t>COMISIONADA</w:t>
            </w:r>
          </w:p>
          <w:p w:rsidR="00F85D7B" w:rsidRPr="005E1FFF" w:rsidRDefault="00F85D7B" w:rsidP="000E3570">
            <w:pPr>
              <w:spacing w:line="276" w:lineRule="auto"/>
              <w:rPr>
                <w:rFonts w:ascii="Arial" w:hAnsi="Arial" w:cs="Arial"/>
                <w:b/>
                <w:sz w:val="24"/>
                <w:szCs w:val="26"/>
              </w:rPr>
            </w:pPr>
          </w:p>
          <w:p w:rsidR="00F85D7B" w:rsidRPr="005E1FFF" w:rsidRDefault="00F85D7B" w:rsidP="000E3570">
            <w:pPr>
              <w:rPr>
                <w:rFonts w:ascii="Arial" w:hAnsi="Arial" w:cs="Arial"/>
                <w:b/>
                <w:sz w:val="24"/>
                <w:szCs w:val="26"/>
              </w:rPr>
            </w:pPr>
          </w:p>
          <w:p w:rsidR="00F85D7B" w:rsidRPr="005E1FFF" w:rsidRDefault="00F85D7B" w:rsidP="000E3570">
            <w:pPr>
              <w:spacing w:before="240" w:after="240" w:line="276" w:lineRule="auto"/>
              <w:jc w:val="center"/>
              <w:rPr>
                <w:rFonts w:ascii="Arial" w:hAnsi="Arial" w:cs="Arial"/>
              </w:rPr>
            </w:pPr>
            <w:r w:rsidRPr="005E1FFF">
              <w:rPr>
                <w:rFonts w:ascii="Arial" w:hAnsi="Arial" w:cs="Arial"/>
                <w:b/>
                <w:sz w:val="24"/>
                <w:szCs w:val="26"/>
              </w:rPr>
              <w:t>CLAUDIA ELIZABETH ÁVALOS CEDILLO</w:t>
            </w:r>
          </w:p>
        </w:tc>
        <w:tc>
          <w:tcPr>
            <w:tcW w:w="4678" w:type="dxa"/>
          </w:tcPr>
          <w:p w:rsidR="00F85D7B" w:rsidRPr="005E1FFF" w:rsidRDefault="00F85D7B" w:rsidP="000E3570">
            <w:pPr>
              <w:ind w:left="48" w:firstLine="2"/>
              <w:jc w:val="center"/>
              <w:rPr>
                <w:rFonts w:ascii="Arial" w:hAnsi="Arial" w:cs="Arial"/>
                <w:b/>
                <w:sz w:val="24"/>
                <w:szCs w:val="26"/>
              </w:rPr>
            </w:pPr>
            <w:r w:rsidRPr="005E1FFF">
              <w:rPr>
                <w:rFonts w:ascii="Arial" w:hAnsi="Arial" w:cs="Arial"/>
                <w:b/>
                <w:sz w:val="24"/>
                <w:szCs w:val="26"/>
              </w:rPr>
              <w:t>SECRETARIA DE PLENO</w:t>
            </w:r>
          </w:p>
          <w:p w:rsidR="00F85D7B" w:rsidRPr="005E1FFF" w:rsidRDefault="00F85D7B" w:rsidP="000E3570">
            <w:pPr>
              <w:ind w:left="48"/>
              <w:jc w:val="center"/>
              <w:rPr>
                <w:rFonts w:ascii="Arial" w:hAnsi="Arial" w:cs="Arial"/>
                <w:b/>
                <w:sz w:val="24"/>
                <w:szCs w:val="26"/>
              </w:rPr>
            </w:pPr>
          </w:p>
          <w:p w:rsidR="00F85D7B" w:rsidRPr="005E1FFF" w:rsidRDefault="00F85D7B" w:rsidP="000E3570">
            <w:pPr>
              <w:spacing w:before="240"/>
              <w:rPr>
                <w:rFonts w:ascii="Arial" w:hAnsi="Arial" w:cs="Arial"/>
                <w:b/>
                <w:sz w:val="24"/>
                <w:szCs w:val="26"/>
              </w:rPr>
            </w:pPr>
          </w:p>
          <w:p w:rsidR="00F85D7B" w:rsidRPr="005E1FFF" w:rsidRDefault="00F85D7B" w:rsidP="000E3570">
            <w:pPr>
              <w:ind w:left="48"/>
              <w:jc w:val="center"/>
              <w:rPr>
                <w:rFonts w:ascii="Arial" w:hAnsi="Arial" w:cs="Arial"/>
                <w:b/>
                <w:sz w:val="24"/>
                <w:szCs w:val="26"/>
              </w:rPr>
            </w:pPr>
            <w:r w:rsidRPr="005E1FFF">
              <w:rPr>
                <w:rFonts w:ascii="Arial" w:hAnsi="Arial" w:cs="Arial"/>
                <w:b/>
                <w:sz w:val="24"/>
                <w:szCs w:val="26"/>
              </w:rPr>
              <w:t>ROSA MARÍA MOTILLA GARCÍA</w:t>
            </w:r>
          </w:p>
        </w:tc>
      </w:tr>
    </w:tbl>
    <w:tbl>
      <w:tblPr>
        <w:tblW w:w="10613" w:type="dxa"/>
        <w:jc w:val="center"/>
        <w:tblLook w:val="01E0" w:firstRow="1" w:lastRow="1" w:firstColumn="1" w:lastColumn="1" w:noHBand="0" w:noVBand="0"/>
      </w:tblPr>
      <w:tblGrid>
        <w:gridCol w:w="4880"/>
        <w:gridCol w:w="358"/>
        <w:gridCol w:w="5375"/>
      </w:tblGrid>
      <w:tr w:rsidR="00F85D7B" w:rsidRPr="005E1FFF" w:rsidTr="005001E9">
        <w:trPr>
          <w:trHeight w:val="126"/>
          <w:jc w:val="center"/>
        </w:trPr>
        <w:tc>
          <w:tcPr>
            <w:tcW w:w="4880" w:type="dxa"/>
          </w:tcPr>
          <w:p w:rsidR="00F85D7B" w:rsidRPr="005E1FFF" w:rsidRDefault="00F85D7B" w:rsidP="000E3570">
            <w:pPr>
              <w:ind w:left="97"/>
              <w:jc w:val="center"/>
              <w:rPr>
                <w:rFonts w:ascii="Arial" w:hAnsi="Arial" w:cs="Arial"/>
                <w:b/>
                <w:szCs w:val="26"/>
              </w:rPr>
            </w:pPr>
          </w:p>
        </w:tc>
        <w:tc>
          <w:tcPr>
            <w:tcW w:w="358" w:type="dxa"/>
          </w:tcPr>
          <w:p w:rsidR="00F85D7B" w:rsidRPr="005E1FFF" w:rsidRDefault="00F85D7B" w:rsidP="000E3570">
            <w:pPr>
              <w:ind w:left="360" w:firstLine="708"/>
              <w:jc w:val="center"/>
              <w:rPr>
                <w:rFonts w:ascii="Arial" w:hAnsi="Arial" w:cs="Arial"/>
                <w:b/>
                <w:szCs w:val="26"/>
              </w:rPr>
            </w:pPr>
          </w:p>
        </w:tc>
        <w:tc>
          <w:tcPr>
            <w:tcW w:w="5375" w:type="dxa"/>
          </w:tcPr>
          <w:p w:rsidR="00F85D7B" w:rsidRPr="005E1FFF" w:rsidRDefault="00F85D7B" w:rsidP="000E3570">
            <w:pPr>
              <w:jc w:val="center"/>
              <w:rPr>
                <w:rFonts w:ascii="Arial" w:hAnsi="Arial" w:cs="Arial"/>
                <w:b/>
                <w:szCs w:val="26"/>
              </w:rPr>
            </w:pPr>
          </w:p>
        </w:tc>
      </w:tr>
    </w:tbl>
    <w:p w:rsidR="00F85D7B" w:rsidRPr="005E1FFF" w:rsidRDefault="00F85D7B" w:rsidP="00F85D7B">
      <w:pPr>
        <w:spacing w:after="240" w:line="240" w:lineRule="auto"/>
        <w:rPr>
          <w:rFonts w:ascii="Arial" w:hAnsi="Arial" w:cs="Arial"/>
          <w:sz w:val="18"/>
        </w:rPr>
      </w:pPr>
      <w:r w:rsidRPr="005E1FFF">
        <w:rPr>
          <w:rFonts w:ascii="Arial" w:hAnsi="Arial" w:cs="Arial"/>
          <w:sz w:val="18"/>
        </w:rPr>
        <w:tab/>
        <w:t>Estas firmas pertenecen a la última foja de la resolución pronunciad</w:t>
      </w:r>
      <w:r w:rsidR="00325B22">
        <w:rPr>
          <w:rFonts w:ascii="Arial" w:hAnsi="Arial" w:cs="Arial"/>
          <w:sz w:val="18"/>
        </w:rPr>
        <w:t xml:space="preserve">a en el recurso de </w:t>
      </w:r>
      <w:proofErr w:type="gramStart"/>
      <w:r w:rsidR="00325B22">
        <w:rPr>
          <w:rFonts w:ascii="Arial" w:hAnsi="Arial" w:cs="Arial"/>
          <w:sz w:val="18"/>
        </w:rPr>
        <w:t xml:space="preserve">revisión  </w:t>
      </w:r>
      <w:r w:rsidR="00BF120E">
        <w:rPr>
          <w:rFonts w:ascii="Arial" w:hAnsi="Arial" w:cs="Arial"/>
          <w:sz w:val="18"/>
        </w:rPr>
        <w:t>807</w:t>
      </w:r>
      <w:proofErr w:type="gramEnd"/>
      <w:r w:rsidRPr="005E1FFF">
        <w:rPr>
          <w:rFonts w:ascii="Arial" w:hAnsi="Arial" w:cs="Arial"/>
          <w:sz w:val="18"/>
        </w:rPr>
        <w:t>/201</w:t>
      </w:r>
      <w:r w:rsidR="00BF120E">
        <w:rPr>
          <w:rFonts w:ascii="Arial" w:hAnsi="Arial" w:cs="Arial"/>
          <w:sz w:val="18"/>
        </w:rPr>
        <w:t>7</w:t>
      </w:r>
      <w:r w:rsidRPr="005E1FFF">
        <w:rPr>
          <w:rFonts w:ascii="Arial" w:hAnsi="Arial" w:cs="Arial"/>
          <w:sz w:val="18"/>
        </w:rPr>
        <w:t>-3 a</w:t>
      </w:r>
      <w:r w:rsidR="006120B7" w:rsidRPr="005E1FFF">
        <w:rPr>
          <w:rFonts w:ascii="Arial" w:hAnsi="Arial" w:cs="Arial"/>
          <w:sz w:val="18"/>
        </w:rPr>
        <w:t xml:space="preserve">probada en sesión </w:t>
      </w:r>
      <w:r w:rsidR="004A0B15" w:rsidRPr="005E1FFF">
        <w:rPr>
          <w:rFonts w:ascii="Arial" w:hAnsi="Arial" w:cs="Arial"/>
          <w:sz w:val="18"/>
        </w:rPr>
        <w:t xml:space="preserve">extraordinaria del </w:t>
      </w:r>
      <w:r w:rsidR="00325B22">
        <w:rPr>
          <w:rFonts w:ascii="Arial" w:hAnsi="Arial" w:cs="Arial"/>
          <w:sz w:val="18"/>
        </w:rPr>
        <w:t>veintiocho de febrero</w:t>
      </w:r>
      <w:r w:rsidR="005E1FFF">
        <w:rPr>
          <w:rFonts w:ascii="Arial" w:hAnsi="Arial" w:cs="Arial"/>
          <w:sz w:val="18"/>
        </w:rPr>
        <w:t xml:space="preserve"> de dos mil dieciocho</w:t>
      </w:r>
      <w:r w:rsidRPr="005E1FFF">
        <w:rPr>
          <w:rFonts w:ascii="Arial" w:hAnsi="Arial" w:cs="Arial"/>
          <w:sz w:val="18"/>
        </w:rPr>
        <w:t>.</w:t>
      </w:r>
    </w:p>
    <w:p w:rsidR="005001E9" w:rsidRPr="005E1FFF" w:rsidRDefault="00F85D7B" w:rsidP="005001E9">
      <w:pPr>
        <w:spacing w:after="240" w:line="240" w:lineRule="auto"/>
        <w:rPr>
          <w:rFonts w:ascii="Arial" w:hAnsi="Arial" w:cs="Arial"/>
          <w:sz w:val="18"/>
        </w:rPr>
      </w:pPr>
      <w:r w:rsidRPr="005E1FFF">
        <w:rPr>
          <w:rFonts w:ascii="Arial" w:hAnsi="Arial" w:cs="Arial"/>
          <w:sz w:val="18"/>
        </w:rPr>
        <w:t xml:space="preserve">Elaboró y Cotejó: </w:t>
      </w:r>
    </w:p>
    <w:p w:rsidR="00F85D7B" w:rsidRPr="005E1FFF" w:rsidRDefault="00F85D7B" w:rsidP="005001E9">
      <w:pPr>
        <w:spacing w:after="240" w:line="240" w:lineRule="auto"/>
        <w:rPr>
          <w:rFonts w:ascii="Arial" w:hAnsi="Arial" w:cs="Arial"/>
        </w:rPr>
      </w:pPr>
      <w:r w:rsidRPr="005E1FFF">
        <w:rPr>
          <w:rFonts w:ascii="Arial" w:hAnsi="Arial" w:cs="Arial"/>
          <w:sz w:val="18"/>
        </w:rPr>
        <w:t>EAGL</w:t>
      </w:r>
      <w:r w:rsidRPr="005E1FFF">
        <w:rPr>
          <w:rFonts w:ascii="Arial" w:hAnsi="Arial" w:cs="Arial"/>
        </w:rPr>
        <w:tab/>
      </w:r>
    </w:p>
    <w:sectPr w:rsidR="00F85D7B" w:rsidRPr="005E1FFF" w:rsidSect="00EE69A4">
      <w:headerReference w:type="even" r:id="rId9"/>
      <w:headerReference w:type="default" r:id="rId10"/>
      <w:headerReference w:type="first" r:id="rId11"/>
      <w:pgSz w:w="12240" w:h="20160" w:code="5"/>
      <w:pgMar w:top="3062" w:right="851" w:bottom="2495" w:left="283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7EDF" w:rsidRDefault="00C97EDF" w:rsidP="00EE69A4">
      <w:pPr>
        <w:spacing w:line="240" w:lineRule="auto"/>
      </w:pPr>
      <w:r>
        <w:separator/>
      </w:r>
    </w:p>
  </w:endnote>
  <w:endnote w:type="continuationSeparator" w:id="0">
    <w:p w:rsidR="00C97EDF" w:rsidRDefault="00C97EDF" w:rsidP="00EE69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7EDF" w:rsidRDefault="00C97EDF" w:rsidP="00EE69A4">
      <w:pPr>
        <w:spacing w:line="240" w:lineRule="auto"/>
      </w:pPr>
      <w:r>
        <w:separator/>
      </w:r>
    </w:p>
  </w:footnote>
  <w:footnote w:type="continuationSeparator" w:id="0">
    <w:p w:rsidR="00C97EDF" w:rsidRDefault="00C97EDF" w:rsidP="00EE69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669881"/>
      <w:docPartObj>
        <w:docPartGallery w:val="Page Numbers (Top of Page)"/>
        <w:docPartUnique/>
      </w:docPartObj>
    </w:sdtPr>
    <w:sdtContent>
      <w:p w:rsidR="00C97EDF" w:rsidRDefault="00C97EDF">
        <w:pPr>
          <w:pStyle w:val="Encabezado"/>
          <w:jc w:val="center"/>
        </w:pPr>
        <w:r>
          <w:fldChar w:fldCharType="begin"/>
        </w:r>
        <w:r>
          <w:instrText xml:space="preserve"> PAGE   \* MERGEFORMAT </w:instrText>
        </w:r>
        <w:r>
          <w:fldChar w:fldCharType="separate"/>
        </w:r>
        <w:r>
          <w:rPr>
            <w:noProof/>
          </w:rPr>
          <w:t>2</w:t>
        </w:r>
        <w:r>
          <w:rPr>
            <w:noProof/>
          </w:rPr>
          <w:fldChar w:fldCharType="end"/>
        </w:r>
      </w:p>
    </w:sdtContent>
  </w:sdt>
  <w:p w:rsidR="00C97EDF" w:rsidRDefault="00C97EDF">
    <w:pPr>
      <w:pStyle w:val="Encabezado"/>
    </w:pPr>
    <w:r>
      <w:t>CEGAIP-RR-018/2016-3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669903"/>
      <w:docPartObj>
        <w:docPartGallery w:val="Page Numbers (Top of Page)"/>
        <w:docPartUnique/>
      </w:docPartObj>
    </w:sdtPr>
    <w:sdtContent>
      <w:p w:rsidR="00C97EDF" w:rsidRDefault="00C97EDF">
        <w:pPr>
          <w:pStyle w:val="Encabezado"/>
          <w:jc w:val="center"/>
        </w:pPr>
        <w:r>
          <w:fldChar w:fldCharType="begin"/>
        </w:r>
        <w:r>
          <w:instrText xml:space="preserve"> PAGE   \* MERGEFORMAT </w:instrText>
        </w:r>
        <w:r>
          <w:fldChar w:fldCharType="separate"/>
        </w:r>
        <w:r w:rsidR="000E31E3">
          <w:rPr>
            <w:noProof/>
          </w:rPr>
          <w:t>12</w:t>
        </w:r>
        <w:r>
          <w:rPr>
            <w:noProof/>
          </w:rPr>
          <w:fldChar w:fldCharType="end"/>
        </w:r>
      </w:p>
    </w:sdtContent>
  </w:sdt>
  <w:p w:rsidR="00C97EDF" w:rsidRPr="00EE69A4" w:rsidRDefault="00C97EDF">
    <w:pPr>
      <w:pStyle w:val="Encabezado"/>
      <w:rPr>
        <w:lang w:val="es-MX"/>
      </w:rPr>
    </w:pPr>
    <w:r>
      <w:rPr>
        <w:lang w:val="es-MX"/>
      </w:rPr>
      <w:t>CEGAIP-RR-807/2017-3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669880"/>
      <w:docPartObj>
        <w:docPartGallery w:val="Page Numbers (Top of Page)"/>
        <w:docPartUnique/>
      </w:docPartObj>
    </w:sdtPr>
    <w:sdtContent>
      <w:p w:rsidR="00C97EDF" w:rsidRDefault="00C97EDF">
        <w:pPr>
          <w:pStyle w:val="Encabezado"/>
          <w:jc w:val="center"/>
        </w:pPr>
        <w:r>
          <w:fldChar w:fldCharType="begin"/>
        </w:r>
        <w:r>
          <w:instrText xml:space="preserve"> PAGE   \* MERGEFORMAT </w:instrText>
        </w:r>
        <w:r>
          <w:fldChar w:fldCharType="separate"/>
        </w:r>
        <w:r w:rsidR="000E31E3">
          <w:rPr>
            <w:noProof/>
          </w:rPr>
          <w:t>1</w:t>
        </w:r>
        <w:r>
          <w:rPr>
            <w:noProof/>
          </w:rPr>
          <w:fldChar w:fldCharType="end"/>
        </w:r>
      </w:p>
    </w:sdtContent>
  </w:sdt>
  <w:p w:rsidR="00C97EDF" w:rsidRDefault="00C97ED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479ED"/>
    <w:multiLevelType w:val="hybridMultilevel"/>
    <w:tmpl w:val="CBC83646"/>
    <w:lvl w:ilvl="0" w:tplc="080A0001">
      <w:start w:val="1"/>
      <w:numFmt w:val="bullet"/>
      <w:lvlText w:val=""/>
      <w:lvlJc w:val="left"/>
      <w:pPr>
        <w:ind w:left="1980" w:hanging="360"/>
      </w:pPr>
      <w:rPr>
        <w:rFonts w:ascii="Symbol" w:hAnsi="Symbol" w:hint="default"/>
      </w:rPr>
    </w:lvl>
    <w:lvl w:ilvl="1" w:tplc="080A0003" w:tentative="1">
      <w:start w:val="1"/>
      <w:numFmt w:val="bullet"/>
      <w:lvlText w:val="o"/>
      <w:lvlJc w:val="left"/>
      <w:pPr>
        <w:ind w:left="2700" w:hanging="360"/>
      </w:pPr>
      <w:rPr>
        <w:rFonts w:ascii="Courier New" w:hAnsi="Courier New" w:cs="Courier New" w:hint="default"/>
      </w:rPr>
    </w:lvl>
    <w:lvl w:ilvl="2" w:tplc="080A0005" w:tentative="1">
      <w:start w:val="1"/>
      <w:numFmt w:val="bullet"/>
      <w:lvlText w:val=""/>
      <w:lvlJc w:val="left"/>
      <w:pPr>
        <w:ind w:left="3420" w:hanging="360"/>
      </w:pPr>
      <w:rPr>
        <w:rFonts w:ascii="Wingdings" w:hAnsi="Wingdings" w:hint="default"/>
      </w:rPr>
    </w:lvl>
    <w:lvl w:ilvl="3" w:tplc="080A0001" w:tentative="1">
      <w:start w:val="1"/>
      <w:numFmt w:val="bullet"/>
      <w:lvlText w:val=""/>
      <w:lvlJc w:val="left"/>
      <w:pPr>
        <w:ind w:left="4140" w:hanging="360"/>
      </w:pPr>
      <w:rPr>
        <w:rFonts w:ascii="Symbol" w:hAnsi="Symbol" w:hint="default"/>
      </w:rPr>
    </w:lvl>
    <w:lvl w:ilvl="4" w:tplc="080A0003" w:tentative="1">
      <w:start w:val="1"/>
      <w:numFmt w:val="bullet"/>
      <w:lvlText w:val="o"/>
      <w:lvlJc w:val="left"/>
      <w:pPr>
        <w:ind w:left="4860" w:hanging="360"/>
      </w:pPr>
      <w:rPr>
        <w:rFonts w:ascii="Courier New" w:hAnsi="Courier New" w:cs="Courier New" w:hint="default"/>
      </w:rPr>
    </w:lvl>
    <w:lvl w:ilvl="5" w:tplc="080A0005" w:tentative="1">
      <w:start w:val="1"/>
      <w:numFmt w:val="bullet"/>
      <w:lvlText w:val=""/>
      <w:lvlJc w:val="left"/>
      <w:pPr>
        <w:ind w:left="5580" w:hanging="360"/>
      </w:pPr>
      <w:rPr>
        <w:rFonts w:ascii="Wingdings" w:hAnsi="Wingdings" w:hint="default"/>
      </w:rPr>
    </w:lvl>
    <w:lvl w:ilvl="6" w:tplc="080A0001" w:tentative="1">
      <w:start w:val="1"/>
      <w:numFmt w:val="bullet"/>
      <w:lvlText w:val=""/>
      <w:lvlJc w:val="left"/>
      <w:pPr>
        <w:ind w:left="6300" w:hanging="360"/>
      </w:pPr>
      <w:rPr>
        <w:rFonts w:ascii="Symbol" w:hAnsi="Symbol" w:hint="default"/>
      </w:rPr>
    </w:lvl>
    <w:lvl w:ilvl="7" w:tplc="080A0003" w:tentative="1">
      <w:start w:val="1"/>
      <w:numFmt w:val="bullet"/>
      <w:lvlText w:val="o"/>
      <w:lvlJc w:val="left"/>
      <w:pPr>
        <w:ind w:left="7020" w:hanging="360"/>
      </w:pPr>
      <w:rPr>
        <w:rFonts w:ascii="Courier New" w:hAnsi="Courier New" w:cs="Courier New" w:hint="default"/>
      </w:rPr>
    </w:lvl>
    <w:lvl w:ilvl="8" w:tplc="080A0005" w:tentative="1">
      <w:start w:val="1"/>
      <w:numFmt w:val="bullet"/>
      <w:lvlText w:val=""/>
      <w:lvlJc w:val="left"/>
      <w:pPr>
        <w:ind w:left="7740" w:hanging="360"/>
      </w:pPr>
      <w:rPr>
        <w:rFonts w:ascii="Wingdings" w:hAnsi="Wingdings" w:hint="default"/>
      </w:rPr>
    </w:lvl>
  </w:abstractNum>
  <w:abstractNum w:abstractNumId="1" w15:restartNumberingAfterBreak="0">
    <w:nsid w:val="0B461F16"/>
    <w:multiLevelType w:val="hybridMultilevel"/>
    <w:tmpl w:val="2ACACD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115656A0"/>
    <w:multiLevelType w:val="hybridMultilevel"/>
    <w:tmpl w:val="CF3A5C24"/>
    <w:lvl w:ilvl="0" w:tplc="927C37B0">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4" w15:restartNumberingAfterBreak="0">
    <w:nsid w:val="1CAC1F95"/>
    <w:multiLevelType w:val="hybridMultilevel"/>
    <w:tmpl w:val="2FE845F6"/>
    <w:lvl w:ilvl="0" w:tplc="4FAE14F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5" w15:restartNumberingAfterBreak="0">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6" w15:restartNumberingAfterBreak="0">
    <w:nsid w:val="2F657BA3"/>
    <w:multiLevelType w:val="hybridMultilevel"/>
    <w:tmpl w:val="EB8051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3D540EF"/>
    <w:multiLevelType w:val="hybridMultilevel"/>
    <w:tmpl w:val="A1108954"/>
    <w:lvl w:ilvl="0" w:tplc="080A000F">
      <w:start w:val="1"/>
      <w:numFmt w:val="decimal"/>
      <w:lvlText w:val="%1."/>
      <w:lvlJc w:val="left"/>
      <w:pPr>
        <w:ind w:left="930" w:hanging="360"/>
      </w:p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8" w15:restartNumberingAfterBreak="0">
    <w:nsid w:val="350D00B5"/>
    <w:multiLevelType w:val="hybridMultilevel"/>
    <w:tmpl w:val="99FE2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6EE07B4"/>
    <w:multiLevelType w:val="hybridMultilevel"/>
    <w:tmpl w:val="955A242E"/>
    <w:lvl w:ilvl="0" w:tplc="9DEA8C6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15:restartNumberingAfterBreak="0">
    <w:nsid w:val="3AA16E65"/>
    <w:multiLevelType w:val="hybridMultilevel"/>
    <w:tmpl w:val="4DE0E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879110E"/>
    <w:multiLevelType w:val="hybridMultilevel"/>
    <w:tmpl w:val="09F6A0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FB93017"/>
    <w:multiLevelType w:val="hybridMultilevel"/>
    <w:tmpl w:val="4D8A40CC"/>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13" w15:restartNumberingAfterBreak="0">
    <w:nsid w:val="50260564"/>
    <w:multiLevelType w:val="hybridMultilevel"/>
    <w:tmpl w:val="38BCED5E"/>
    <w:lvl w:ilvl="0" w:tplc="EC563C6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15:restartNumberingAfterBreak="0">
    <w:nsid w:val="5311723B"/>
    <w:multiLevelType w:val="hybridMultilevel"/>
    <w:tmpl w:val="1C64A858"/>
    <w:lvl w:ilvl="0" w:tplc="0384509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6762D72"/>
    <w:multiLevelType w:val="hybridMultilevel"/>
    <w:tmpl w:val="41C0D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F907510"/>
    <w:multiLevelType w:val="hybridMultilevel"/>
    <w:tmpl w:val="A52ACE5C"/>
    <w:lvl w:ilvl="0" w:tplc="837E08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7" w15:restartNumberingAfterBreak="0">
    <w:nsid w:val="6462592B"/>
    <w:multiLevelType w:val="hybridMultilevel"/>
    <w:tmpl w:val="2766B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DC3303B"/>
    <w:multiLevelType w:val="hybridMultilevel"/>
    <w:tmpl w:val="069254CC"/>
    <w:lvl w:ilvl="0" w:tplc="080A000B">
      <w:start w:val="1"/>
      <w:numFmt w:val="bullet"/>
      <w:lvlText w:val=""/>
      <w:lvlJc w:val="left"/>
      <w:pPr>
        <w:ind w:left="2137" w:hanging="360"/>
      </w:pPr>
      <w:rPr>
        <w:rFonts w:ascii="Wingdings" w:hAnsi="Wingdings" w:hint="default"/>
      </w:rPr>
    </w:lvl>
    <w:lvl w:ilvl="1" w:tplc="080A0003" w:tentative="1">
      <w:start w:val="1"/>
      <w:numFmt w:val="bullet"/>
      <w:lvlText w:val="o"/>
      <w:lvlJc w:val="left"/>
      <w:pPr>
        <w:ind w:left="2857" w:hanging="360"/>
      </w:pPr>
      <w:rPr>
        <w:rFonts w:ascii="Courier New" w:hAnsi="Courier New" w:cs="Courier New" w:hint="default"/>
      </w:rPr>
    </w:lvl>
    <w:lvl w:ilvl="2" w:tplc="080A0005" w:tentative="1">
      <w:start w:val="1"/>
      <w:numFmt w:val="bullet"/>
      <w:lvlText w:val=""/>
      <w:lvlJc w:val="left"/>
      <w:pPr>
        <w:ind w:left="3577" w:hanging="360"/>
      </w:pPr>
      <w:rPr>
        <w:rFonts w:ascii="Wingdings" w:hAnsi="Wingdings" w:hint="default"/>
      </w:rPr>
    </w:lvl>
    <w:lvl w:ilvl="3" w:tplc="080A0001" w:tentative="1">
      <w:start w:val="1"/>
      <w:numFmt w:val="bullet"/>
      <w:lvlText w:val=""/>
      <w:lvlJc w:val="left"/>
      <w:pPr>
        <w:ind w:left="4297" w:hanging="360"/>
      </w:pPr>
      <w:rPr>
        <w:rFonts w:ascii="Symbol" w:hAnsi="Symbol" w:hint="default"/>
      </w:rPr>
    </w:lvl>
    <w:lvl w:ilvl="4" w:tplc="080A0003" w:tentative="1">
      <w:start w:val="1"/>
      <w:numFmt w:val="bullet"/>
      <w:lvlText w:val="o"/>
      <w:lvlJc w:val="left"/>
      <w:pPr>
        <w:ind w:left="5017" w:hanging="360"/>
      </w:pPr>
      <w:rPr>
        <w:rFonts w:ascii="Courier New" w:hAnsi="Courier New" w:cs="Courier New" w:hint="default"/>
      </w:rPr>
    </w:lvl>
    <w:lvl w:ilvl="5" w:tplc="080A0005" w:tentative="1">
      <w:start w:val="1"/>
      <w:numFmt w:val="bullet"/>
      <w:lvlText w:val=""/>
      <w:lvlJc w:val="left"/>
      <w:pPr>
        <w:ind w:left="5737" w:hanging="360"/>
      </w:pPr>
      <w:rPr>
        <w:rFonts w:ascii="Wingdings" w:hAnsi="Wingdings" w:hint="default"/>
      </w:rPr>
    </w:lvl>
    <w:lvl w:ilvl="6" w:tplc="080A0001" w:tentative="1">
      <w:start w:val="1"/>
      <w:numFmt w:val="bullet"/>
      <w:lvlText w:val=""/>
      <w:lvlJc w:val="left"/>
      <w:pPr>
        <w:ind w:left="6457" w:hanging="360"/>
      </w:pPr>
      <w:rPr>
        <w:rFonts w:ascii="Symbol" w:hAnsi="Symbol" w:hint="default"/>
      </w:rPr>
    </w:lvl>
    <w:lvl w:ilvl="7" w:tplc="080A0003" w:tentative="1">
      <w:start w:val="1"/>
      <w:numFmt w:val="bullet"/>
      <w:lvlText w:val="o"/>
      <w:lvlJc w:val="left"/>
      <w:pPr>
        <w:ind w:left="7177" w:hanging="360"/>
      </w:pPr>
      <w:rPr>
        <w:rFonts w:ascii="Courier New" w:hAnsi="Courier New" w:cs="Courier New" w:hint="default"/>
      </w:rPr>
    </w:lvl>
    <w:lvl w:ilvl="8" w:tplc="080A0005" w:tentative="1">
      <w:start w:val="1"/>
      <w:numFmt w:val="bullet"/>
      <w:lvlText w:val=""/>
      <w:lvlJc w:val="left"/>
      <w:pPr>
        <w:ind w:left="7897" w:hanging="360"/>
      </w:pPr>
      <w:rPr>
        <w:rFonts w:ascii="Wingdings" w:hAnsi="Wingdings" w:hint="default"/>
      </w:rPr>
    </w:lvl>
  </w:abstractNum>
  <w:abstractNum w:abstractNumId="19" w15:restartNumberingAfterBreak="0">
    <w:nsid w:val="736E1286"/>
    <w:multiLevelType w:val="hybridMultilevel"/>
    <w:tmpl w:val="469073D8"/>
    <w:lvl w:ilvl="0" w:tplc="1848D0D0">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20" w15:restartNumberingAfterBreak="0">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1" w15:restartNumberingAfterBreak="0">
    <w:nsid w:val="7BCB673D"/>
    <w:multiLevelType w:val="hybridMultilevel"/>
    <w:tmpl w:val="BA3641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20"/>
  </w:num>
  <w:num w:numId="3">
    <w:abstractNumId w:val="16"/>
  </w:num>
  <w:num w:numId="4">
    <w:abstractNumId w:val="3"/>
  </w:num>
  <w:num w:numId="5">
    <w:abstractNumId w:val="4"/>
  </w:num>
  <w:num w:numId="6">
    <w:abstractNumId w:val="13"/>
  </w:num>
  <w:num w:numId="7">
    <w:abstractNumId w:val="1"/>
  </w:num>
  <w:num w:numId="8">
    <w:abstractNumId w:val="5"/>
  </w:num>
  <w:num w:numId="9">
    <w:abstractNumId w:val="21"/>
  </w:num>
  <w:num w:numId="10">
    <w:abstractNumId w:val="19"/>
  </w:num>
  <w:num w:numId="11">
    <w:abstractNumId w:val="12"/>
  </w:num>
  <w:num w:numId="12">
    <w:abstractNumId w:val="14"/>
  </w:num>
  <w:num w:numId="13">
    <w:abstractNumId w:val="9"/>
  </w:num>
  <w:num w:numId="14">
    <w:abstractNumId w:val="10"/>
  </w:num>
  <w:num w:numId="15">
    <w:abstractNumId w:val="7"/>
  </w:num>
  <w:num w:numId="16">
    <w:abstractNumId w:val="17"/>
  </w:num>
  <w:num w:numId="17">
    <w:abstractNumId w:val="15"/>
  </w:num>
  <w:num w:numId="18">
    <w:abstractNumId w:val="8"/>
  </w:num>
  <w:num w:numId="19">
    <w:abstractNumId w:val="6"/>
  </w:num>
  <w:num w:numId="20">
    <w:abstractNumId w:val="11"/>
  </w:num>
  <w:num w:numId="21">
    <w:abstractNumId w:val="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C44"/>
    <w:rsid w:val="0000036C"/>
    <w:rsid w:val="00000970"/>
    <w:rsid w:val="000011B1"/>
    <w:rsid w:val="00002D57"/>
    <w:rsid w:val="0001055D"/>
    <w:rsid w:val="000109C4"/>
    <w:rsid w:val="00011F94"/>
    <w:rsid w:val="00013C06"/>
    <w:rsid w:val="000177DD"/>
    <w:rsid w:val="00033326"/>
    <w:rsid w:val="000425FE"/>
    <w:rsid w:val="0004354C"/>
    <w:rsid w:val="000451BF"/>
    <w:rsid w:val="00061128"/>
    <w:rsid w:val="00062D73"/>
    <w:rsid w:val="00064D97"/>
    <w:rsid w:val="00072340"/>
    <w:rsid w:val="00077E33"/>
    <w:rsid w:val="00085811"/>
    <w:rsid w:val="000967F2"/>
    <w:rsid w:val="00096C1B"/>
    <w:rsid w:val="000A1D16"/>
    <w:rsid w:val="000A33AA"/>
    <w:rsid w:val="000B38D3"/>
    <w:rsid w:val="000B4951"/>
    <w:rsid w:val="000B55A2"/>
    <w:rsid w:val="000C6676"/>
    <w:rsid w:val="000D5428"/>
    <w:rsid w:val="000D7425"/>
    <w:rsid w:val="000E16E9"/>
    <w:rsid w:val="000E31E3"/>
    <w:rsid w:val="000E3570"/>
    <w:rsid w:val="000E7BEA"/>
    <w:rsid w:val="000F6BB1"/>
    <w:rsid w:val="0011496B"/>
    <w:rsid w:val="001205B0"/>
    <w:rsid w:val="001271CF"/>
    <w:rsid w:val="00132933"/>
    <w:rsid w:val="00154324"/>
    <w:rsid w:val="00160177"/>
    <w:rsid w:val="00165A0D"/>
    <w:rsid w:val="001718C8"/>
    <w:rsid w:val="00177EEC"/>
    <w:rsid w:val="00190533"/>
    <w:rsid w:val="001A0323"/>
    <w:rsid w:val="001A3F9B"/>
    <w:rsid w:val="001A4183"/>
    <w:rsid w:val="001A4FD4"/>
    <w:rsid w:val="001A7205"/>
    <w:rsid w:val="001A7253"/>
    <w:rsid w:val="001B3E73"/>
    <w:rsid w:val="001B7F3F"/>
    <w:rsid w:val="001C53E0"/>
    <w:rsid w:val="001D3660"/>
    <w:rsid w:val="001D41A7"/>
    <w:rsid w:val="001F5D11"/>
    <w:rsid w:val="00202A8C"/>
    <w:rsid w:val="002041D3"/>
    <w:rsid w:val="00213C13"/>
    <w:rsid w:val="00220BFA"/>
    <w:rsid w:val="00225A33"/>
    <w:rsid w:val="00244E9C"/>
    <w:rsid w:val="00247D45"/>
    <w:rsid w:val="00256CA2"/>
    <w:rsid w:val="00261BC8"/>
    <w:rsid w:val="002670F1"/>
    <w:rsid w:val="0027003D"/>
    <w:rsid w:val="00273CD8"/>
    <w:rsid w:val="00277874"/>
    <w:rsid w:val="00284664"/>
    <w:rsid w:val="002873E5"/>
    <w:rsid w:val="0029291C"/>
    <w:rsid w:val="0029435C"/>
    <w:rsid w:val="00297933"/>
    <w:rsid w:val="00297F19"/>
    <w:rsid w:val="002A0FC4"/>
    <w:rsid w:val="002A17D6"/>
    <w:rsid w:val="002B0933"/>
    <w:rsid w:val="002B722D"/>
    <w:rsid w:val="002B740A"/>
    <w:rsid w:val="002B7451"/>
    <w:rsid w:val="002C20C3"/>
    <w:rsid w:val="002C476E"/>
    <w:rsid w:val="002E0A37"/>
    <w:rsid w:val="002E615D"/>
    <w:rsid w:val="002E6D46"/>
    <w:rsid w:val="002F279B"/>
    <w:rsid w:val="00300904"/>
    <w:rsid w:val="00311D23"/>
    <w:rsid w:val="00313897"/>
    <w:rsid w:val="00320EE9"/>
    <w:rsid w:val="00325B22"/>
    <w:rsid w:val="00336FD2"/>
    <w:rsid w:val="00345ACF"/>
    <w:rsid w:val="00346A88"/>
    <w:rsid w:val="00351465"/>
    <w:rsid w:val="0036724E"/>
    <w:rsid w:val="003709F8"/>
    <w:rsid w:val="003779B1"/>
    <w:rsid w:val="00380455"/>
    <w:rsid w:val="00381362"/>
    <w:rsid w:val="003A292F"/>
    <w:rsid w:val="003A29F0"/>
    <w:rsid w:val="003A3E53"/>
    <w:rsid w:val="003B7E57"/>
    <w:rsid w:val="003C08C4"/>
    <w:rsid w:val="003C2E2E"/>
    <w:rsid w:val="003C3862"/>
    <w:rsid w:val="003D0737"/>
    <w:rsid w:val="003D19A4"/>
    <w:rsid w:val="003E3EF4"/>
    <w:rsid w:val="003E51B9"/>
    <w:rsid w:val="003F5C68"/>
    <w:rsid w:val="004026B8"/>
    <w:rsid w:val="004131C4"/>
    <w:rsid w:val="00414FBC"/>
    <w:rsid w:val="00416678"/>
    <w:rsid w:val="00420E30"/>
    <w:rsid w:val="00424DB5"/>
    <w:rsid w:val="00427660"/>
    <w:rsid w:val="004329EC"/>
    <w:rsid w:val="00435508"/>
    <w:rsid w:val="00442B9B"/>
    <w:rsid w:val="00445F5F"/>
    <w:rsid w:val="00451CBA"/>
    <w:rsid w:val="0045344E"/>
    <w:rsid w:val="00456AF3"/>
    <w:rsid w:val="00457939"/>
    <w:rsid w:val="00467FDA"/>
    <w:rsid w:val="00472A1D"/>
    <w:rsid w:val="00484038"/>
    <w:rsid w:val="00487331"/>
    <w:rsid w:val="0049249D"/>
    <w:rsid w:val="004A0B15"/>
    <w:rsid w:val="004A0FD5"/>
    <w:rsid w:val="004A6542"/>
    <w:rsid w:val="004A72C3"/>
    <w:rsid w:val="004B19A3"/>
    <w:rsid w:val="004C0527"/>
    <w:rsid w:val="004C4E6F"/>
    <w:rsid w:val="004C50E3"/>
    <w:rsid w:val="004C5F45"/>
    <w:rsid w:val="004C6FDE"/>
    <w:rsid w:val="004C7A7C"/>
    <w:rsid w:val="004E1916"/>
    <w:rsid w:val="004E74FA"/>
    <w:rsid w:val="004F18AE"/>
    <w:rsid w:val="005001E9"/>
    <w:rsid w:val="0050105D"/>
    <w:rsid w:val="0050126E"/>
    <w:rsid w:val="00502874"/>
    <w:rsid w:val="005135A5"/>
    <w:rsid w:val="00521B9B"/>
    <w:rsid w:val="00532F9E"/>
    <w:rsid w:val="0053510B"/>
    <w:rsid w:val="005351D0"/>
    <w:rsid w:val="00545919"/>
    <w:rsid w:val="0054675F"/>
    <w:rsid w:val="00547C44"/>
    <w:rsid w:val="00553BDC"/>
    <w:rsid w:val="00560D0B"/>
    <w:rsid w:val="0056529C"/>
    <w:rsid w:val="00565459"/>
    <w:rsid w:val="0057077D"/>
    <w:rsid w:val="00571D06"/>
    <w:rsid w:val="00572717"/>
    <w:rsid w:val="00576423"/>
    <w:rsid w:val="005911F6"/>
    <w:rsid w:val="005A114A"/>
    <w:rsid w:val="005A2FAB"/>
    <w:rsid w:val="005B2591"/>
    <w:rsid w:val="005B517E"/>
    <w:rsid w:val="005B677D"/>
    <w:rsid w:val="005C6336"/>
    <w:rsid w:val="005E1FFF"/>
    <w:rsid w:val="005F2715"/>
    <w:rsid w:val="005F332C"/>
    <w:rsid w:val="005F4682"/>
    <w:rsid w:val="005F6F85"/>
    <w:rsid w:val="005F7945"/>
    <w:rsid w:val="006001C8"/>
    <w:rsid w:val="0060038E"/>
    <w:rsid w:val="006120B7"/>
    <w:rsid w:val="0061318A"/>
    <w:rsid w:val="00614475"/>
    <w:rsid w:val="00622A2D"/>
    <w:rsid w:val="00626DC5"/>
    <w:rsid w:val="006375C8"/>
    <w:rsid w:val="006429AA"/>
    <w:rsid w:val="006466EF"/>
    <w:rsid w:val="00652AEB"/>
    <w:rsid w:val="0065301A"/>
    <w:rsid w:val="00655772"/>
    <w:rsid w:val="00656316"/>
    <w:rsid w:val="00662D15"/>
    <w:rsid w:val="006738A0"/>
    <w:rsid w:val="00686EF6"/>
    <w:rsid w:val="00694341"/>
    <w:rsid w:val="00694542"/>
    <w:rsid w:val="006A0884"/>
    <w:rsid w:val="006A78E2"/>
    <w:rsid w:val="006B03C4"/>
    <w:rsid w:val="006B187E"/>
    <w:rsid w:val="006E50C7"/>
    <w:rsid w:val="006F0024"/>
    <w:rsid w:val="006F2ECE"/>
    <w:rsid w:val="007023BB"/>
    <w:rsid w:val="00712FE7"/>
    <w:rsid w:val="00720E84"/>
    <w:rsid w:val="0072313C"/>
    <w:rsid w:val="0072714A"/>
    <w:rsid w:val="00746813"/>
    <w:rsid w:val="00746974"/>
    <w:rsid w:val="00746C83"/>
    <w:rsid w:val="00747D46"/>
    <w:rsid w:val="00750387"/>
    <w:rsid w:val="00761464"/>
    <w:rsid w:val="00775EB6"/>
    <w:rsid w:val="00790D00"/>
    <w:rsid w:val="00792D04"/>
    <w:rsid w:val="007940FA"/>
    <w:rsid w:val="007C4897"/>
    <w:rsid w:val="007D4729"/>
    <w:rsid w:val="007D483F"/>
    <w:rsid w:val="007E10ED"/>
    <w:rsid w:val="007E2B63"/>
    <w:rsid w:val="007F2B1C"/>
    <w:rsid w:val="007F4A1A"/>
    <w:rsid w:val="007F5719"/>
    <w:rsid w:val="008018B5"/>
    <w:rsid w:val="00817DAC"/>
    <w:rsid w:val="00837CB2"/>
    <w:rsid w:val="00837EE4"/>
    <w:rsid w:val="008452A0"/>
    <w:rsid w:val="00846369"/>
    <w:rsid w:val="0085044F"/>
    <w:rsid w:val="0085182C"/>
    <w:rsid w:val="008538D6"/>
    <w:rsid w:val="008613B8"/>
    <w:rsid w:val="008648D5"/>
    <w:rsid w:val="0086779C"/>
    <w:rsid w:val="00867F9F"/>
    <w:rsid w:val="00876ED9"/>
    <w:rsid w:val="0089357B"/>
    <w:rsid w:val="008A5335"/>
    <w:rsid w:val="008A6BD8"/>
    <w:rsid w:val="008B50B6"/>
    <w:rsid w:val="008C36CD"/>
    <w:rsid w:val="008E27FE"/>
    <w:rsid w:val="008E3DDB"/>
    <w:rsid w:val="00905453"/>
    <w:rsid w:val="00907924"/>
    <w:rsid w:val="00914838"/>
    <w:rsid w:val="00923F15"/>
    <w:rsid w:val="0093242E"/>
    <w:rsid w:val="00935B9B"/>
    <w:rsid w:val="009437B2"/>
    <w:rsid w:val="009459EB"/>
    <w:rsid w:val="0095249E"/>
    <w:rsid w:val="009626A2"/>
    <w:rsid w:val="00964445"/>
    <w:rsid w:val="0096783D"/>
    <w:rsid w:val="009823E9"/>
    <w:rsid w:val="009832EB"/>
    <w:rsid w:val="00983F39"/>
    <w:rsid w:val="009871C6"/>
    <w:rsid w:val="009906FE"/>
    <w:rsid w:val="00990C27"/>
    <w:rsid w:val="00995BC8"/>
    <w:rsid w:val="009A0D56"/>
    <w:rsid w:val="009A52EC"/>
    <w:rsid w:val="009B5C3B"/>
    <w:rsid w:val="009C0FCA"/>
    <w:rsid w:val="009C6A00"/>
    <w:rsid w:val="009C7D5F"/>
    <w:rsid w:val="009D6048"/>
    <w:rsid w:val="009E022A"/>
    <w:rsid w:val="009E1720"/>
    <w:rsid w:val="009E6D3C"/>
    <w:rsid w:val="009F01C4"/>
    <w:rsid w:val="00A06DD6"/>
    <w:rsid w:val="00A125FF"/>
    <w:rsid w:val="00A12805"/>
    <w:rsid w:val="00A12D2C"/>
    <w:rsid w:val="00A26A62"/>
    <w:rsid w:val="00A528FE"/>
    <w:rsid w:val="00A5583F"/>
    <w:rsid w:val="00A6132E"/>
    <w:rsid w:val="00A64E84"/>
    <w:rsid w:val="00A701FB"/>
    <w:rsid w:val="00A70ED5"/>
    <w:rsid w:val="00A7318D"/>
    <w:rsid w:val="00A8058C"/>
    <w:rsid w:val="00A8282F"/>
    <w:rsid w:val="00A906B7"/>
    <w:rsid w:val="00A93F60"/>
    <w:rsid w:val="00AA0559"/>
    <w:rsid w:val="00AC2F9A"/>
    <w:rsid w:val="00AC374C"/>
    <w:rsid w:val="00AC73E9"/>
    <w:rsid w:val="00AE265B"/>
    <w:rsid w:val="00AF16FE"/>
    <w:rsid w:val="00AF1750"/>
    <w:rsid w:val="00AF3F36"/>
    <w:rsid w:val="00AF54C9"/>
    <w:rsid w:val="00B12733"/>
    <w:rsid w:val="00B22E10"/>
    <w:rsid w:val="00B238B3"/>
    <w:rsid w:val="00B527F6"/>
    <w:rsid w:val="00B55458"/>
    <w:rsid w:val="00B65A11"/>
    <w:rsid w:val="00B678E4"/>
    <w:rsid w:val="00B722A5"/>
    <w:rsid w:val="00B815B9"/>
    <w:rsid w:val="00B832C3"/>
    <w:rsid w:val="00BB3718"/>
    <w:rsid w:val="00BB5A3B"/>
    <w:rsid w:val="00BC51F1"/>
    <w:rsid w:val="00BD3B14"/>
    <w:rsid w:val="00BE1A0E"/>
    <w:rsid w:val="00BE24CD"/>
    <w:rsid w:val="00BE287E"/>
    <w:rsid w:val="00BE3E78"/>
    <w:rsid w:val="00BE7938"/>
    <w:rsid w:val="00BF120E"/>
    <w:rsid w:val="00BF6F42"/>
    <w:rsid w:val="00BF7350"/>
    <w:rsid w:val="00C01D46"/>
    <w:rsid w:val="00C12ACF"/>
    <w:rsid w:val="00C260FA"/>
    <w:rsid w:val="00C40EA9"/>
    <w:rsid w:val="00C4314E"/>
    <w:rsid w:val="00C43590"/>
    <w:rsid w:val="00C55849"/>
    <w:rsid w:val="00C630FB"/>
    <w:rsid w:val="00C63190"/>
    <w:rsid w:val="00C718FB"/>
    <w:rsid w:val="00C76973"/>
    <w:rsid w:val="00C800B6"/>
    <w:rsid w:val="00C9337E"/>
    <w:rsid w:val="00C97EDF"/>
    <w:rsid w:val="00CB3BD1"/>
    <w:rsid w:val="00CF4066"/>
    <w:rsid w:val="00CF46C1"/>
    <w:rsid w:val="00D017C1"/>
    <w:rsid w:val="00D06717"/>
    <w:rsid w:val="00D224AF"/>
    <w:rsid w:val="00D338A7"/>
    <w:rsid w:val="00D443C9"/>
    <w:rsid w:val="00D4613F"/>
    <w:rsid w:val="00D52209"/>
    <w:rsid w:val="00D5511E"/>
    <w:rsid w:val="00D602BD"/>
    <w:rsid w:val="00D6501E"/>
    <w:rsid w:val="00D70ABC"/>
    <w:rsid w:val="00D721F1"/>
    <w:rsid w:val="00D80830"/>
    <w:rsid w:val="00D82C8C"/>
    <w:rsid w:val="00D9581E"/>
    <w:rsid w:val="00DA3AF7"/>
    <w:rsid w:val="00DA4F80"/>
    <w:rsid w:val="00DA7891"/>
    <w:rsid w:val="00DB4600"/>
    <w:rsid w:val="00DB6A4A"/>
    <w:rsid w:val="00DC1F2B"/>
    <w:rsid w:val="00DC4B5C"/>
    <w:rsid w:val="00DC51FF"/>
    <w:rsid w:val="00DC731B"/>
    <w:rsid w:val="00DD3263"/>
    <w:rsid w:val="00DD744A"/>
    <w:rsid w:val="00DE02F8"/>
    <w:rsid w:val="00DF293F"/>
    <w:rsid w:val="00DF6FE2"/>
    <w:rsid w:val="00E06B57"/>
    <w:rsid w:val="00E21254"/>
    <w:rsid w:val="00E23E5A"/>
    <w:rsid w:val="00E26D72"/>
    <w:rsid w:val="00E30E47"/>
    <w:rsid w:val="00E34788"/>
    <w:rsid w:val="00E365EC"/>
    <w:rsid w:val="00E36A29"/>
    <w:rsid w:val="00E37F7D"/>
    <w:rsid w:val="00E47BCD"/>
    <w:rsid w:val="00E65686"/>
    <w:rsid w:val="00E7179B"/>
    <w:rsid w:val="00E74B27"/>
    <w:rsid w:val="00E76911"/>
    <w:rsid w:val="00E93297"/>
    <w:rsid w:val="00EA0BAA"/>
    <w:rsid w:val="00EA18A6"/>
    <w:rsid w:val="00EB4B36"/>
    <w:rsid w:val="00EB6899"/>
    <w:rsid w:val="00EC361E"/>
    <w:rsid w:val="00EC77A2"/>
    <w:rsid w:val="00ED06E7"/>
    <w:rsid w:val="00ED2115"/>
    <w:rsid w:val="00ED6686"/>
    <w:rsid w:val="00ED71F0"/>
    <w:rsid w:val="00ED7BBD"/>
    <w:rsid w:val="00EE0456"/>
    <w:rsid w:val="00EE69A4"/>
    <w:rsid w:val="00EF35AA"/>
    <w:rsid w:val="00F01279"/>
    <w:rsid w:val="00F012A1"/>
    <w:rsid w:val="00F1293C"/>
    <w:rsid w:val="00F21DE7"/>
    <w:rsid w:val="00F226F1"/>
    <w:rsid w:val="00F23A09"/>
    <w:rsid w:val="00F306AF"/>
    <w:rsid w:val="00F31B0D"/>
    <w:rsid w:val="00F41DD3"/>
    <w:rsid w:val="00F502A4"/>
    <w:rsid w:val="00F531C2"/>
    <w:rsid w:val="00F62DB3"/>
    <w:rsid w:val="00F77891"/>
    <w:rsid w:val="00F85D7B"/>
    <w:rsid w:val="00F9062C"/>
    <w:rsid w:val="00F9293F"/>
    <w:rsid w:val="00FA039E"/>
    <w:rsid w:val="00FA1345"/>
    <w:rsid w:val="00FB26AA"/>
    <w:rsid w:val="00FB77BD"/>
    <w:rsid w:val="00FC4E09"/>
    <w:rsid w:val="00FC6D58"/>
    <w:rsid w:val="00FD3183"/>
    <w:rsid w:val="00FD7EE6"/>
    <w:rsid w:val="00FE34D2"/>
    <w:rsid w:val="00FE367D"/>
    <w:rsid w:val="00FE6671"/>
    <w:rsid w:val="00FF12FC"/>
    <w:rsid w:val="00FF3B7D"/>
    <w:rsid w:val="00FF4E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74081"/>
    <o:shapelayout v:ext="edit">
      <o:idmap v:ext="edit" data="1"/>
    </o:shapelayout>
  </w:shapeDefaults>
  <w:decimalSymbol w:val="."/>
  <w:listSeparator w:val=","/>
  <w14:docId w14:val="22078E32"/>
  <w15:docId w15:val="{5140FA62-A953-4839-96AD-B49C9B5CF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cs9b0541cf">
    <w:name w:val="cs9b0541cf"/>
    <w:basedOn w:val="Fuentedeprrafopredeter"/>
    <w:rsid w:val="00202A8C"/>
  </w:style>
  <w:style w:type="character" w:customStyle="1" w:styleId="cs3c846dc6">
    <w:name w:val="cs3c846dc6"/>
    <w:basedOn w:val="Fuentedeprrafopredeter"/>
    <w:rsid w:val="00202A8C"/>
  </w:style>
  <w:style w:type="character" w:customStyle="1" w:styleId="lbl-encabezado-negro">
    <w:name w:val="lbl-encabezado-negro"/>
    <w:basedOn w:val="Fuentedeprrafopredeter"/>
    <w:rsid w:val="000B4951"/>
  </w:style>
  <w:style w:type="character" w:customStyle="1" w:styleId="red">
    <w:name w:val="red"/>
    <w:basedOn w:val="Fuentedeprrafopredeter"/>
    <w:rsid w:val="00BE3E78"/>
  </w:style>
  <w:style w:type="paragraph" w:styleId="Textonotapie">
    <w:name w:val="footnote text"/>
    <w:basedOn w:val="Normal"/>
    <w:link w:val="TextonotapieCar"/>
    <w:uiPriority w:val="99"/>
    <w:unhideWhenUsed/>
    <w:rsid w:val="00244E9C"/>
    <w:pPr>
      <w:spacing w:line="240" w:lineRule="auto"/>
      <w:jc w:val="left"/>
    </w:pPr>
    <w:rPr>
      <w:rFonts w:ascii="Arial" w:hAnsi="Arial" w:cs="Arial"/>
      <w:sz w:val="20"/>
      <w:szCs w:val="20"/>
      <w:lang w:val="es-MX"/>
    </w:rPr>
  </w:style>
  <w:style w:type="character" w:customStyle="1" w:styleId="TextonotapieCar">
    <w:name w:val="Texto nota pie Car"/>
    <w:basedOn w:val="Fuentedeprrafopredeter"/>
    <w:link w:val="Textonotapie"/>
    <w:uiPriority w:val="99"/>
    <w:rsid w:val="00244E9C"/>
    <w:rPr>
      <w:rFonts w:ascii="Arial" w:hAnsi="Arial" w:cs="Arial"/>
      <w:sz w:val="20"/>
      <w:szCs w:val="20"/>
      <w:lang w:eastAsia="es-ES"/>
    </w:rPr>
  </w:style>
  <w:style w:type="character" w:styleId="Refdenotaalpie">
    <w:name w:val="footnote reference"/>
    <w:basedOn w:val="Fuentedeprrafopredeter"/>
    <w:uiPriority w:val="99"/>
    <w:unhideWhenUsed/>
    <w:rsid w:val="00244E9C"/>
    <w:rPr>
      <w:vertAlign w:val="superscript"/>
    </w:rPr>
  </w:style>
  <w:style w:type="paragraph" w:customStyle="1" w:styleId="Texto0">
    <w:name w:val="Texto"/>
    <w:basedOn w:val="Normal"/>
    <w:link w:val="TextoCar"/>
    <w:rsid w:val="0061318A"/>
    <w:pPr>
      <w:spacing w:after="101" w:line="216" w:lineRule="exact"/>
      <w:ind w:firstLine="288"/>
    </w:pPr>
    <w:rPr>
      <w:rFonts w:ascii="Arial" w:hAnsi="Arial" w:cs="Arial"/>
      <w:sz w:val="18"/>
      <w:szCs w:val="20"/>
      <w:lang w:val="es-MX"/>
    </w:rPr>
  </w:style>
  <w:style w:type="paragraph" w:customStyle="1" w:styleId="ANOTACION">
    <w:name w:val="ANOTACION"/>
    <w:basedOn w:val="Normal"/>
    <w:link w:val="ANOTACIONCar"/>
    <w:rsid w:val="0061318A"/>
    <w:pPr>
      <w:spacing w:before="101" w:after="101" w:line="216" w:lineRule="atLeast"/>
      <w:jc w:val="center"/>
    </w:pPr>
    <w:rPr>
      <w:rFonts w:ascii="Times New Roman" w:hAnsi="Times New Roman"/>
      <w:b/>
      <w:sz w:val="18"/>
      <w:szCs w:val="20"/>
      <w:lang w:val="es-ES_tradnl"/>
    </w:rPr>
  </w:style>
  <w:style w:type="character" w:customStyle="1" w:styleId="TextoCar">
    <w:name w:val="Texto Car"/>
    <w:link w:val="Texto0"/>
    <w:locked/>
    <w:rsid w:val="0061318A"/>
    <w:rPr>
      <w:rFonts w:ascii="Arial" w:hAnsi="Arial" w:cs="Arial"/>
      <w:sz w:val="18"/>
      <w:szCs w:val="20"/>
      <w:lang w:eastAsia="es-ES"/>
    </w:rPr>
  </w:style>
  <w:style w:type="character" w:customStyle="1" w:styleId="ANOTACIONCar">
    <w:name w:val="ANOTACION Car"/>
    <w:link w:val="ANOTACION"/>
    <w:locked/>
    <w:rsid w:val="0061318A"/>
    <w:rPr>
      <w:rFonts w:ascii="Times New Roman" w:hAnsi="Times New Roman" w:cs="Times New Roman"/>
      <w:b/>
      <w:sz w:val="18"/>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063992">
      <w:bodyDiv w:val="1"/>
      <w:marLeft w:val="0"/>
      <w:marRight w:val="0"/>
      <w:marTop w:val="0"/>
      <w:marBottom w:val="0"/>
      <w:divBdr>
        <w:top w:val="none" w:sz="0" w:space="0" w:color="auto"/>
        <w:left w:val="none" w:sz="0" w:space="0" w:color="auto"/>
        <w:bottom w:val="none" w:sz="0" w:space="0" w:color="auto"/>
        <w:right w:val="none" w:sz="0" w:space="0" w:color="auto"/>
      </w:divBdr>
      <w:divsChild>
        <w:div w:id="1400251041">
          <w:marLeft w:val="0"/>
          <w:marRight w:val="0"/>
          <w:marTop w:val="0"/>
          <w:marBottom w:val="0"/>
          <w:divBdr>
            <w:top w:val="none" w:sz="0" w:space="0" w:color="auto"/>
            <w:left w:val="none" w:sz="0" w:space="0" w:color="auto"/>
            <w:bottom w:val="none" w:sz="0" w:space="0" w:color="auto"/>
            <w:right w:val="none" w:sz="0" w:space="0" w:color="auto"/>
          </w:divBdr>
        </w:div>
      </w:divsChild>
    </w:div>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64505087">
      <w:bodyDiv w:val="1"/>
      <w:marLeft w:val="0"/>
      <w:marRight w:val="0"/>
      <w:marTop w:val="0"/>
      <w:marBottom w:val="0"/>
      <w:divBdr>
        <w:top w:val="none" w:sz="0" w:space="0" w:color="auto"/>
        <w:left w:val="none" w:sz="0" w:space="0" w:color="auto"/>
        <w:bottom w:val="none" w:sz="0" w:space="0" w:color="auto"/>
        <w:right w:val="none" w:sz="0" w:space="0" w:color="auto"/>
      </w:divBdr>
      <w:divsChild>
        <w:div w:id="1490251805">
          <w:marLeft w:val="0"/>
          <w:marRight w:val="0"/>
          <w:marTop w:val="0"/>
          <w:marBottom w:val="0"/>
          <w:divBdr>
            <w:top w:val="none" w:sz="0" w:space="0" w:color="auto"/>
            <w:left w:val="none" w:sz="0" w:space="0" w:color="auto"/>
            <w:bottom w:val="none" w:sz="0" w:space="0" w:color="auto"/>
            <w:right w:val="none" w:sz="0" w:space="0" w:color="auto"/>
          </w:divBdr>
        </w:div>
      </w:divsChild>
    </w:div>
    <w:div w:id="1271165483">
      <w:bodyDiv w:val="1"/>
      <w:marLeft w:val="0"/>
      <w:marRight w:val="0"/>
      <w:marTop w:val="0"/>
      <w:marBottom w:val="0"/>
      <w:divBdr>
        <w:top w:val="none" w:sz="0" w:space="0" w:color="auto"/>
        <w:left w:val="none" w:sz="0" w:space="0" w:color="auto"/>
        <w:bottom w:val="none" w:sz="0" w:space="0" w:color="auto"/>
        <w:right w:val="none" w:sz="0" w:space="0" w:color="auto"/>
      </w:divBdr>
      <w:divsChild>
        <w:div w:id="2569062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67A337-A904-49CD-B436-CE576625C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12</Pages>
  <Words>4018</Words>
  <Characters>22102</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Eugenio Alberto Galindo López</cp:lastModifiedBy>
  <cp:revision>3</cp:revision>
  <cp:lastPrinted>2018-02-01T20:29:00Z</cp:lastPrinted>
  <dcterms:created xsi:type="dcterms:W3CDTF">2018-02-26T01:12:00Z</dcterms:created>
  <dcterms:modified xsi:type="dcterms:W3CDTF">2018-02-26T04:21:00Z</dcterms:modified>
</cp:coreProperties>
</file>